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9948CA2" w14:textId="77777777" w:rsidR="00F52ED5" w:rsidRDefault="00F52ED5">
      <w:pPr>
        <w:spacing w:before="1440"/>
      </w:pPr>
    </w:p>
    <w:p w14:paraId="69948CA3" w14:textId="77777777" w:rsidR="00F52ED5" w:rsidRDefault="001541F8">
      <w:pPr>
        <w:spacing w:after="200"/>
        <w:jc w:val="center"/>
      </w:pPr>
      <w:r>
        <w:rPr>
          <w:b/>
          <w:bCs/>
          <w:caps/>
          <w:color w:val="1F4E79"/>
          <w:sz w:val="24"/>
          <w:szCs w:val="24"/>
        </w:rPr>
        <w:t>MINISTERIO DE VIVIENDA, CIUDAD Y TERRITORIO</w:t>
      </w:r>
    </w:p>
    <w:p w14:paraId="69948CA4" w14:textId="77777777" w:rsidR="00F52ED5" w:rsidRDefault="001541F8">
      <w:pPr>
        <w:spacing w:after="100"/>
        <w:jc w:val="center"/>
      </w:pPr>
      <w:r>
        <w:rPr>
          <w:color w:val="2E75B6"/>
          <w:sz w:val="22"/>
          <w:szCs w:val="22"/>
        </w:rPr>
        <w:t>Viceministerio de Agua y Saneamiento Básico</w:t>
      </w:r>
    </w:p>
    <w:p w14:paraId="69948CA5" w14:textId="77777777" w:rsidR="00F52ED5" w:rsidRDefault="001541F8">
      <w:pPr>
        <w:spacing w:after="100"/>
        <w:jc w:val="center"/>
      </w:pPr>
      <w:r>
        <w:rPr>
          <w:color w:val="444444"/>
        </w:rPr>
        <w:t>Dirección de Infraestructura y Desarrollo Empresarial</w:t>
      </w:r>
    </w:p>
    <w:p w14:paraId="69948CA6" w14:textId="77777777" w:rsidR="00F52ED5" w:rsidRDefault="001541F8">
      <w:pPr>
        <w:pBdr>
          <w:bottom w:val="single" w:sz="8" w:space="4" w:color="1F4E79"/>
        </w:pBdr>
        <w:spacing w:before="600" w:after="300"/>
        <w:jc w:val="center"/>
      </w:pPr>
      <w:r>
        <w:rPr>
          <w:b/>
          <w:bCs/>
          <w:color w:val="1F4E79"/>
          <w:sz w:val="52"/>
          <w:szCs w:val="52"/>
        </w:rPr>
        <w:t>INFORME DE EMPALME</w:t>
      </w:r>
    </w:p>
    <w:p w14:paraId="69948CA7" w14:textId="77777777" w:rsidR="00F52ED5" w:rsidRDefault="001541F8">
      <w:pPr>
        <w:spacing w:before="300" w:after="200"/>
        <w:jc w:val="center"/>
      </w:pPr>
      <w:r>
        <w:rPr>
          <w:b/>
          <w:bCs/>
          <w:color w:val="2E75B6"/>
          <w:sz w:val="36"/>
          <w:szCs w:val="36"/>
        </w:rPr>
        <w:t>Programa de Agua Potable y Saneamiento</w:t>
      </w:r>
    </w:p>
    <w:p w14:paraId="69948CA8" w14:textId="77777777" w:rsidR="00F52ED5" w:rsidRDefault="001541F8">
      <w:pPr>
        <w:spacing w:after="200"/>
        <w:jc w:val="center"/>
      </w:pPr>
      <w:r>
        <w:rPr>
          <w:b/>
          <w:bCs/>
          <w:color w:val="2E75B6"/>
          <w:sz w:val="36"/>
          <w:szCs w:val="36"/>
        </w:rPr>
        <w:t>para el Departamento de La Guajira</w:t>
      </w:r>
    </w:p>
    <w:p w14:paraId="69948CA9" w14:textId="77777777" w:rsidR="00F52ED5" w:rsidRDefault="001541F8">
      <w:pPr>
        <w:spacing w:after="200"/>
        <w:jc w:val="center"/>
      </w:pPr>
      <w:r>
        <w:rPr>
          <w:color w:val="555555"/>
        </w:rPr>
        <w:t>Préstamo BID No. 5193/OC-</w:t>
      </w:r>
      <w:proofErr w:type="gramStart"/>
      <w:r>
        <w:rPr>
          <w:color w:val="555555"/>
        </w:rPr>
        <w:t>CO  ·</w:t>
      </w:r>
      <w:proofErr w:type="gramEnd"/>
      <w:r>
        <w:rPr>
          <w:color w:val="555555"/>
        </w:rPr>
        <w:t xml:space="preserve">  Cooperaciones No. 5189/GR-CO y GRT/CF-18453-CO</w:t>
      </w:r>
    </w:p>
    <w:p w14:paraId="69948CAA" w14:textId="77777777" w:rsidR="00F52ED5" w:rsidRDefault="001541F8">
      <w:pPr>
        <w:spacing w:before="600" w:after="80"/>
        <w:jc w:val="center"/>
      </w:pPr>
      <w:r>
        <w:rPr>
          <w:b/>
          <w:bCs/>
          <w:color w:val="333333"/>
        </w:rPr>
        <w:t>Período cubierto:</w:t>
      </w:r>
    </w:p>
    <w:p w14:paraId="69948CAB" w14:textId="77777777" w:rsidR="00F52ED5" w:rsidRDefault="001541F8">
      <w:pPr>
        <w:spacing w:after="80"/>
        <w:jc w:val="center"/>
      </w:pPr>
      <w:r>
        <w:rPr>
          <w:b/>
          <w:bCs/>
          <w:color w:val="1E7145"/>
          <w:sz w:val="24"/>
          <w:szCs w:val="24"/>
        </w:rPr>
        <w:t xml:space="preserve">Agosto 2022 – </w:t>
      </w:r>
      <w:proofErr w:type="gramStart"/>
      <w:r>
        <w:rPr>
          <w:b/>
          <w:bCs/>
          <w:color w:val="1E7145"/>
          <w:sz w:val="24"/>
          <w:szCs w:val="24"/>
        </w:rPr>
        <w:t>Junio</w:t>
      </w:r>
      <w:proofErr w:type="gramEnd"/>
      <w:r>
        <w:rPr>
          <w:b/>
          <w:bCs/>
          <w:color w:val="1E7145"/>
          <w:sz w:val="24"/>
          <w:szCs w:val="24"/>
        </w:rPr>
        <w:t xml:space="preserve"> 2026</w:t>
      </w:r>
    </w:p>
    <w:p w14:paraId="69948CAC" w14:textId="77777777" w:rsidR="00F52ED5" w:rsidRDefault="001541F8">
      <w:pPr>
        <w:spacing w:before="400" w:after="80"/>
        <w:jc w:val="center"/>
      </w:pPr>
      <w:r>
        <w:rPr>
          <w:color w:val="555555"/>
        </w:rPr>
        <w:t>Bogotá D.C., junio de 2026</w:t>
      </w:r>
    </w:p>
    <w:p w14:paraId="69948CAD" w14:textId="77777777" w:rsidR="00F52ED5" w:rsidRDefault="001541F8">
      <w:pPr>
        <w:spacing w:before="80" w:after="80"/>
        <w:jc w:val="center"/>
      </w:pPr>
      <w:r>
        <w:rPr>
          <w:color w:val="777777"/>
          <w:sz w:val="18"/>
          <w:szCs w:val="18"/>
        </w:rPr>
        <w:t>Elaborado por: Oscar Cortés Rivero — Coordinador UCP</w:t>
      </w:r>
    </w:p>
    <w:p w14:paraId="69948CAE" w14:textId="77777777" w:rsidR="00F52ED5" w:rsidRDefault="001541F8">
      <w:r>
        <w:br w:type="page"/>
      </w:r>
    </w:p>
    <w:p w14:paraId="69948CAF" w14:textId="77777777" w:rsidR="00F52ED5" w:rsidRDefault="001541F8">
      <w:pPr>
        <w:pStyle w:val="Ttulo1"/>
      </w:pPr>
      <w:r>
        <w:lastRenderedPageBreak/>
        <w:t>1. Aspectos Generales del Programa</w:t>
      </w:r>
    </w:p>
    <w:p w14:paraId="69948CB0" w14:textId="77777777" w:rsidR="00F52ED5" w:rsidRDefault="001541F8">
      <w:pPr>
        <w:pStyle w:val="Ttulo2"/>
      </w:pPr>
      <w:r>
        <w:t>1.1 Antecedentes y justificación</w:t>
      </w:r>
    </w:p>
    <w:p w14:paraId="69948CB1" w14:textId="77777777" w:rsidR="00F52ED5" w:rsidRDefault="001541F8">
      <w:pPr>
        <w:spacing w:before="80" w:after="80" w:line="276" w:lineRule="auto"/>
        <w:jc w:val="both"/>
      </w:pPr>
      <w:r>
        <w:rPr>
          <w:color w:val="000000"/>
        </w:rPr>
        <w:t>El departamento de La Guajira presentaba en 2018 una de las brechas más críticas en acceso a servicios públicos de agua y saneamiento del país. Mientras las coberturas nacionales de acueducto y alcantarillado urbano alcanzaban el 96,0% y el 92,6% respectivamente, las del departamento apenas llegaban al 79,9% y al 77,5%, ubicándose entre 15 y 16 puntos porcentuales por debajo del promedio nacional. Adicionalmente, solo el 14,7% de la población urbana guajira recibía agua potable, y el índice de continuidad del servicio era el tercero más bajo del país.</w:t>
      </w:r>
    </w:p>
    <w:p w14:paraId="69948CB3" w14:textId="77777777" w:rsidR="00F52ED5" w:rsidRDefault="001541F8">
      <w:pPr>
        <w:spacing w:before="80" w:after="80" w:line="276" w:lineRule="auto"/>
        <w:jc w:val="both"/>
      </w:pPr>
      <w:r>
        <w:rPr>
          <w:color w:val="000000"/>
        </w:rPr>
        <w:t>Esta realidad, agravada por la pandemia del COVID-19 y la presión migratoria venezolana sobre los municipios del departamento, motivó al Gobierno Nacional a gestionar financiamiento externo con el Banco Interamericano de Desarrollo (BID). El 23 de diciembre de 2020 se suscribió el Contrato de Crédito No. 5193/OC-CO por $181.759,5 millones de pesos colombianos, complementado con dos cooperaciones no reembolsables: la Donación BID No. 5189/GR-CO por USD 7,75 millones y la Donación COSUDE No. GRT/CF-18453-CO por USD 5,00 millones.</w:t>
      </w:r>
    </w:p>
    <w:p w14:paraId="69948CB5" w14:textId="77777777" w:rsidR="00F52ED5" w:rsidRDefault="001541F8">
      <w:pPr>
        <w:pStyle w:val="Ttulo2"/>
      </w:pPr>
      <w:r>
        <w:t>1.2 Objetivo del Programa</w:t>
      </w:r>
    </w:p>
    <w:p w14:paraId="69948CB6" w14:textId="77777777" w:rsidR="00F52ED5" w:rsidRDefault="001541F8">
      <w:pPr>
        <w:spacing w:before="80" w:after="80" w:line="276" w:lineRule="auto"/>
        <w:jc w:val="both"/>
      </w:pPr>
      <w:r>
        <w:rPr>
          <w:color w:val="000000"/>
        </w:rPr>
        <w:t>Incrementar la cobertura, calidad y continuidad de los servicios públicos domiciliarios de acueducto y alcantarillado en las zonas urbanas del departamento de La Guajira, con énfasis en las poblaciones más afectadas por flujos migratorios y con un enfoque transversal de género y sostenibilidad ambiental.</w:t>
      </w:r>
    </w:p>
    <w:p w14:paraId="69948CB8" w14:textId="77777777" w:rsidR="00F52ED5" w:rsidRDefault="001541F8">
      <w:pPr>
        <w:pStyle w:val="Ttulo2"/>
      </w:pPr>
      <w:r>
        <w:t>1.3 Estructura del Programa</w:t>
      </w:r>
    </w:p>
    <w:p w14:paraId="69948CB9" w14:textId="77777777" w:rsidR="00F52ED5" w:rsidRDefault="001541F8">
      <w:pPr>
        <w:spacing w:before="80" w:after="80" w:line="276" w:lineRule="auto"/>
        <w:jc w:val="both"/>
      </w:pPr>
      <w:r>
        <w:rPr>
          <w:color w:val="000000"/>
        </w:rPr>
        <w:t>El Programa se estructura en tres componentes:</w:t>
      </w:r>
    </w:p>
    <w:p w14:paraId="69948CBA" w14:textId="5684E3E4" w:rsidR="00F52ED5" w:rsidRDefault="001541F8" w:rsidP="000C53E8">
      <w:pPr>
        <w:pStyle w:val="Prrafodelista"/>
        <w:numPr>
          <w:ilvl w:val="0"/>
          <w:numId w:val="2"/>
        </w:numPr>
        <w:spacing w:before="60" w:after="60"/>
        <w:jc w:val="both"/>
      </w:pPr>
      <w:r>
        <w:t xml:space="preserve">Componente 1 — Ampliación y mejora de los sistemas de agua y saneamiento urbano: financia obras de captación, conducción, tratamiento, almacenamiento, distribución, micro y </w:t>
      </w:r>
      <w:proofErr w:type="spellStart"/>
      <w:r>
        <w:t>macromedición</w:t>
      </w:r>
      <w:proofErr w:type="spellEnd"/>
      <w:r>
        <w:t xml:space="preserve">, redes de alcantarillado sanitario y pluvial, y acometidas domiciliarias. </w:t>
      </w:r>
    </w:p>
    <w:p w14:paraId="69948CBB" w14:textId="77777777" w:rsidR="00F52ED5" w:rsidRDefault="001541F8" w:rsidP="000C53E8">
      <w:pPr>
        <w:pStyle w:val="Prrafodelista"/>
        <w:numPr>
          <w:ilvl w:val="0"/>
          <w:numId w:val="2"/>
        </w:numPr>
        <w:spacing w:before="60" w:after="60"/>
        <w:jc w:val="both"/>
      </w:pPr>
      <w:r>
        <w:t>Componente 2 — Apoyo a la mejora de la gestión institucional: financia fortalecimiento de operadores, asistencia técnica regional, unidad móvil de laboratorio para Corpoguajira, talleres de capacitación con enfoque de género y planes de comunicación.</w:t>
      </w:r>
    </w:p>
    <w:p w14:paraId="69948CBC" w14:textId="77777777" w:rsidR="00F52ED5" w:rsidRDefault="001541F8" w:rsidP="000C53E8">
      <w:pPr>
        <w:pStyle w:val="Prrafodelista"/>
        <w:numPr>
          <w:ilvl w:val="0"/>
          <w:numId w:val="2"/>
        </w:numPr>
        <w:spacing w:before="60" w:after="60"/>
        <w:jc w:val="both"/>
      </w:pPr>
      <w:r>
        <w:t>Componente 3 — Administración, Evaluación y Auditoría: financia la Unidad Coordinadora del Programa (UCP), las evaluaciones del Programa y las auditorías anuales.</w:t>
      </w:r>
    </w:p>
    <w:p w14:paraId="69948CBD" w14:textId="77777777" w:rsidR="00F52ED5" w:rsidRDefault="00F52ED5">
      <w:pPr>
        <w:spacing w:after="120"/>
      </w:pPr>
    </w:p>
    <w:p w14:paraId="4C90CF66" w14:textId="77777777" w:rsidR="003D7137" w:rsidRDefault="003D7137">
      <w:pPr>
        <w:spacing w:before="120" w:after="120"/>
        <w:jc w:val="center"/>
        <w:sectPr w:rsidR="003D7137">
          <w:headerReference w:type="default" r:id="rId7"/>
          <w:footerReference w:type="default" r:id="rId8"/>
          <w:pgSz w:w="12240" w:h="15840"/>
          <w:pgMar w:top="1440" w:right="1080" w:bottom="1440" w:left="1440" w:header="708" w:footer="708" w:gutter="0"/>
          <w:cols w:space="720"/>
          <w:docGrid w:linePitch="360"/>
        </w:sectPr>
      </w:pPr>
    </w:p>
    <w:p w14:paraId="69948CBE" w14:textId="77777777" w:rsidR="00F52ED5" w:rsidRDefault="001541F8">
      <w:pPr>
        <w:spacing w:before="120" w:after="120"/>
        <w:jc w:val="center"/>
      </w:pPr>
      <w:r>
        <w:rPr>
          <w:noProof/>
        </w:rPr>
        <w:lastRenderedPageBreak/>
        <w:drawing>
          <wp:inline distT="0" distB="0" distL="0" distR="0" wp14:anchorId="69948EBB" wp14:editId="5EC83D24">
            <wp:extent cx="7560000" cy="3402000"/>
            <wp:effectExtent l="0" t="0" r="3175" b="825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9"/>
                    <a:srcRect/>
                    <a:stretch>
                      <a:fillRect/>
                    </a:stretch>
                  </pic:blipFill>
                  <pic:spPr bwMode="auto">
                    <a:xfrm>
                      <a:off x="0" y="0"/>
                      <a:ext cx="7560000" cy="3402000"/>
                    </a:xfrm>
                    <a:prstGeom prst="rect">
                      <a:avLst/>
                    </a:prstGeom>
                  </pic:spPr>
                </pic:pic>
              </a:graphicData>
            </a:graphic>
          </wp:inline>
        </w:drawing>
      </w:r>
    </w:p>
    <w:p w14:paraId="69948CBF" w14:textId="77777777" w:rsidR="00F52ED5" w:rsidRDefault="001541F8">
      <w:pPr>
        <w:spacing w:after="120"/>
        <w:jc w:val="center"/>
      </w:pPr>
      <w:r>
        <w:rPr>
          <w:color w:val="666666"/>
          <w:sz w:val="16"/>
          <w:szCs w:val="16"/>
        </w:rPr>
        <w:t>Figura 1 — Estructura del Programa de Agua Potable y Saneamiento para La Guajira</w:t>
      </w:r>
    </w:p>
    <w:p w14:paraId="6A7159CA" w14:textId="77777777" w:rsidR="003D7137" w:rsidRDefault="003D7137">
      <w:pPr>
        <w:pStyle w:val="Ttulo2"/>
        <w:sectPr w:rsidR="003D7137" w:rsidSect="003D7137">
          <w:pgSz w:w="15840" w:h="12240" w:orient="landscape"/>
          <w:pgMar w:top="1440" w:right="1440" w:bottom="1077" w:left="1440" w:header="709" w:footer="709" w:gutter="0"/>
          <w:cols w:space="720"/>
          <w:docGrid w:linePitch="360"/>
        </w:sectPr>
      </w:pPr>
    </w:p>
    <w:p w14:paraId="69948CC1" w14:textId="77777777" w:rsidR="00F52ED5" w:rsidRDefault="001541F8">
      <w:pPr>
        <w:pStyle w:val="Ttulo2"/>
      </w:pPr>
      <w:r>
        <w:lastRenderedPageBreak/>
        <w:t>1.4 Esquema de financiación</w:t>
      </w:r>
    </w:p>
    <w:tbl>
      <w:tblPr>
        <w:tblW w:w="88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2600"/>
        <w:gridCol w:w="2000"/>
        <w:gridCol w:w="2000"/>
        <w:gridCol w:w="2280"/>
      </w:tblGrid>
      <w:tr w:rsidR="00F52ED5" w14:paraId="69948CC6" w14:textId="77777777">
        <w:trPr>
          <w:tblHeader/>
        </w:trPr>
        <w:tc>
          <w:tcPr>
            <w:tcW w:w="2600" w:type="dxa"/>
            <w:tcBorders>
              <w:top w:val="single" w:sz="4" w:space="0" w:color="BBBBBB"/>
              <w:left w:val="single" w:sz="4" w:space="0" w:color="BBBBBB"/>
              <w:bottom w:val="single" w:sz="4" w:space="0" w:color="BBBBBB"/>
              <w:right w:val="single" w:sz="4" w:space="0" w:color="BBBBBB"/>
            </w:tcBorders>
            <w:shd w:val="clear" w:color="auto" w:fill="1F4E79"/>
            <w:tcMar>
              <w:top w:w="80" w:type="dxa"/>
              <w:left w:w="120" w:type="dxa"/>
              <w:bottom w:w="80" w:type="dxa"/>
              <w:right w:w="120" w:type="dxa"/>
            </w:tcMar>
            <w:vAlign w:val="center"/>
          </w:tcPr>
          <w:p w14:paraId="69948CC2" w14:textId="77777777" w:rsidR="00F52ED5" w:rsidRDefault="001541F8">
            <w:pPr>
              <w:jc w:val="center"/>
            </w:pPr>
            <w:r>
              <w:rPr>
                <w:b/>
                <w:bCs/>
                <w:color w:val="FFFFFF"/>
                <w:sz w:val="18"/>
                <w:szCs w:val="18"/>
              </w:rPr>
              <w:t>Fuente</w:t>
            </w:r>
          </w:p>
        </w:tc>
        <w:tc>
          <w:tcPr>
            <w:tcW w:w="2000" w:type="dxa"/>
            <w:tcBorders>
              <w:top w:val="single" w:sz="4" w:space="0" w:color="BBBBBB"/>
              <w:left w:val="single" w:sz="4" w:space="0" w:color="BBBBBB"/>
              <w:bottom w:val="single" w:sz="4" w:space="0" w:color="BBBBBB"/>
              <w:right w:val="single" w:sz="4" w:space="0" w:color="BBBBBB"/>
            </w:tcBorders>
            <w:shd w:val="clear" w:color="auto" w:fill="1F4E79"/>
            <w:tcMar>
              <w:top w:w="80" w:type="dxa"/>
              <w:left w:w="120" w:type="dxa"/>
              <w:bottom w:w="80" w:type="dxa"/>
              <w:right w:w="120" w:type="dxa"/>
            </w:tcMar>
            <w:vAlign w:val="center"/>
          </w:tcPr>
          <w:p w14:paraId="69948CC3" w14:textId="77777777" w:rsidR="00F52ED5" w:rsidRDefault="001541F8">
            <w:pPr>
              <w:jc w:val="center"/>
            </w:pPr>
            <w:r>
              <w:rPr>
                <w:b/>
                <w:bCs/>
                <w:color w:val="FFFFFF"/>
                <w:sz w:val="18"/>
                <w:szCs w:val="18"/>
              </w:rPr>
              <w:t>Presupuesto total</w:t>
            </w:r>
          </w:p>
        </w:tc>
        <w:tc>
          <w:tcPr>
            <w:tcW w:w="2000" w:type="dxa"/>
            <w:tcBorders>
              <w:top w:val="single" w:sz="4" w:space="0" w:color="BBBBBB"/>
              <w:left w:val="single" w:sz="4" w:space="0" w:color="BBBBBB"/>
              <w:bottom w:val="single" w:sz="4" w:space="0" w:color="BBBBBB"/>
              <w:right w:val="single" w:sz="4" w:space="0" w:color="BBBBBB"/>
            </w:tcBorders>
            <w:shd w:val="clear" w:color="auto" w:fill="1F4E79"/>
            <w:tcMar>
              <w:top w:w="80" w:type="dxa"/>
              <w:left w:w="120" w:type="dxa"/>
              <w:bottom w:w="80" w:type="dxa"/>
              <w:right w:w="120" w:type="dxa"/>
            </w:tcMar>
            <w:vAlign w:val="center"/>
          </w:tcPr>
          <w:p w14:paraId="69948CC4" w14:textId="77777777" w:rsidR="00F52ED5" w:rsidRDefault="001541F8">
            <w:pPr>
              <w:jc w:val="center"/>
            </w:pPr>
            <w:r>
              <w:rPr>
                <w:b/>
                <w:bCs/>
                <w:color w:val="FFFFFF"/>
                <w:sz w:val="18"/>
                <w:szCs w:val="18"/>
              </w:rPr>
              <w:t>Giros acumulados a Fiducia</w:t>
            </w:r>
          </w:p>
        </w:tc>
        <w:tc>
          <w:tcPr>
            <w:tcW w:w="2280" w:type="dxa"/>
            <w:tcBorders>
              <w:top w:val="single" w:sz="4" w:space="0" w:color="BBBBBB"/>
              <w:left w:val="single" w:sz="4" w:space="0" w:color="BBBBBB"/>
              <w:bottom w:val="single" w:sz="4" w:space="0" w:color="BBBBBB"/>
              <w:right w:val="single" w:sz="4" w:space="0" w:color="BBBBBB"/>
            </w:tcBorders>
            <w:shd w:val="clear" w:color="auto" w:fill="1F4E79"/>
            <w:tcMar>
              <w:top w:w="80" w:type="dxa"/>
              <w:left w:w="120" w:type="dxa"/>
              <w:bottom w:w="80" w:type="dxa"/>
              <w:right w:w="120" w:type="dxa"/>
            </w:tcMar>
            <w:vAlign w:val="center"/>
          </w:tcPr>
          <w:p w14:paraId="69948CC5" w14:textId="77777777" w:rsidR="00F52ED5" w:rsidRDefault="001541F8">
            <w:pPr>
              <w:jc w:val="center"/>
            </w:pPr>
            <w:r>
              <w:rPr>
                <w:b/>
                <w:bCs/>
                <w:color w:val="FFFFFF"/>
                <w:sz w:val="18"/>
                <w:szCs w:val="18"/>
              </w:rPr>
              <w:t>Notas de ejecución</w:t>
            </w:r>
          </w:p>
        </w:tc>
      </w:tr>
      <w:tr w:rsidR="00F52ED5" w14:paraId="69948CCB" w14:textId="77777777">
        <w:tc>
          <w:tcPr>
            <w:tcW w:w="2600" w:type="dxa"/>
            <w:tcBorders>
              <w:top w:val="single" w:sz="4" w:space="0" w:color="BBBBBB"/>
              <w:left w:val="single" w:sz="4" w:space="0" w:color="BBBBBB"/>
              <w:bottom w:val="single" w:sz="4" w:space="0" w:color="BBBBBB"/>
              <w:right w:val="single" w:sz="4" w:space="0" w:color="BBBBBB"/>
            </w:tcBorders>
            <w:shd w:val="clear" w:color="auto" w:fill="FFFFFF"/>
            <w:tcMar>
              <w:top w:w="80" w:type="dxa"/>
              <w:left w:w="120" w:type="dxa"/>
              <w:bottom w:w="80" w:type="dxa"/>
              <w:right w:w="120" w:type="dxa"/>
            </w:tcMar>
            <w:vAlign w:val="center"/>
          </w:tcPr>
          <w:p w14:paraId="69948CC7" w14:textId="77777777" w:rsidR="00F52ED5" w:rsidRDefault="001541F8">
            <w:r>
              <w:rPr>
                <w:b/>
                <w:bCs/>
                <w:color w:val="000000"/>
                <w:sz w:val="18"/>
                <w:szCs w:val="18"/>
              </w:rPr>
              <w:t>Préstamo BID 5193/OC-CO</w:t>
            </w:r>
          </w:p>
        </w:tc>
        <w:tc>
          <w:tcPr>
            <w:tcW w:w="2000" w:type="dxa"/>
            <w:tcBorders>
              <w:top w:val="single" w:sz="4" w:space="0" w:color="BBBBBB"/>
              <w:left w:val="single" w:sz="4" w:space="0" w:color="BBBBBB"/>
              <w:bottom w:val="single" w:sz="4" w:space="0" w:color="BBBBBB"/>
              <w:right w:val="single" w:sz="4" w:space="0" w:color="BBBBBB"/>
            </w:tcBorders>
            <w:shd w:val="clear" w:color="auto" w:fill="FFFFFF"/>
            <w:tcMar>
              <w:top w:w="80" w:type="dxa"/>
              <w:left w:w="120" w:type="dxa"/>
              <w:bottom w:w="80" w:type="dxa"/>
              <w:right w:w="120" w:type="dxa"/>
            </w:tcMar>
            <w:vAlign w:val="center"/>
          </w:tcPr>
          <w:p w14:paraId="69948CC8" w14:textId="77777777" w:rsidR="00F52ED5" w:rsidRDefault="001541F8">
            <w:pPr>
              <w:jc w:val="center"/>
            </w:pPr>
            <w:r>
              <w:rPr>
                <w:color w:val="000000"/>
                <w:sz w:val="18"/>
                <w:szCs w:val="18"/>
              </w:rPr>
              <w:t>COP $181.759,5 M</w:t>
            </w:r>
          </w:p>
        </w:tc>
        <w:tc>
          <w:tcPr>
            <w:tcW w:w="2000" w:type="dxa"/>
            <w:tcBorders>
              <w:top w:val="single" w:sz="4" w:space="0" w:color="BBBBBB"/>
              <w:left w:val="single" w:sz="4" w:space="0" w:color="BBBBBB"/>
              <w:bottom w:val="single" w:sz="4" w:space="0" w:color="BBBBBB"/>
              <w:right w:val="single" w:sz="4" w:space="0" w:color="BBBBBB"/>
            </w:tcBorders>
            <w:shd w:val="clear" w:color="auto" w:fill="FFFFFF"/>
            <w:tcMar>
              <w:top w:w="80" w:type="dxa"/>
              <w:left w:w="120" w:type="dxa"/>
              <w:bottom w:w="80" w:type="dxa"/>
              <w:right w:w="120" w:type="dxa"/>
            </w:tcMar>
            <w:vAlign w:val="center"/>
          </w:tcPr>
          <w:p w14:paraId="69948CC9" w14:textId="77777777" w:rsidR="00F52ED5" w:rsidRDefault="001541F8">
            <w:pPr>
              <w:jc w:val="center"/>
            </w:pPr>
            <w:r>
              <w:rPr>
                <w:color w:val="000000"/>
                <w:sz w:val="18"/>
                <w:szCs w:val="18"/>
              </w:rPr>
              <w:t>COP $132.578,9 M</w:t>
            </w:r>
          </w:p>
        </w:tc>
        <w:tc>
          <w:tcPr>
            <w:tcW w:w="2280" w:type="dxa"/>
            <w:tcBorders>
              <w:top w:val="single" w:sz="4" w:space="0" w:color="BBBBBB"/>
              <w:left w:val="single" w:sz="4" w:space="0" w:color="BBBBBB"/>
              <w:bottom w:val="single" w:sz="4" w:space="0" w:color="BBBBBB"/>
              <w:right w:val="single" w:sz="4" w:space="0" w:color="BBBBBB"/>
            </w:tcBorders>
            <w:shd w:val="clear" w:color="auto" w:fill="FFFFFF"/>
            <w:tcMar>
              <w:top w:w="80" w:type="dxa"/>
              <w:left w:w="120" w:type="dxa"/>
              <w:bottom w:w="80" w:type="dxa"/>
              <w:right w:w="120" w:type="dxa"/>
            </w:tcMar>
            <w:vAlign w:val="center"/>
          </w:tcPr>
          <w:p w14:paraId="69948CCA" w14:textId="77777777" w:rsidR="00F52ED5" w:rsidRDefault="001541F8">
            <w:pPr>
              <w:jc w:val="center"/>
            </w:pPr>
            <w:r>
              <w:rPr>
                <w:color w:val="000000"/>
                <w:sz w:val="18"/>
                <w:szCs w:val="18"/>
              </w:rPr>
              <w:t>COP $136.091,2 M*</w:t>
            </w:r>
          </w:p>
        </w:tc>
      </w:tr>
      <w:tr w:rsidR="00F52ED5" w14:paraId="69948CD0" w14:textId="77777777">
        <w:tc>
          <w:tcPr>
            <w:tcW w:w="2600" w:type="dxa"/>
            <w:tcBorders>
              <w:top w:val="single" w:sz="4" w:space="0" w:color="BBBBBB"/>
              <w:left w:val="single" w:sz="4" w:space="0" w:color="BBBBBB"/>
              <w:bottom w:val="single" w:sz="4" w:space="0" w:color="BBBBBB"/>
              <w:right w:val="single" w:sz="4" w:space="0" w:color="BBBBBB"/>
            </w:tcBorders>
            <w:shd w:val="clear" w:color="auto" w:fill="F2F2F2"/>
            <w:tcMar>
              <w:top w:w="80" w:type="dxa"/>
              <w:left w:w="120" w:type="dxa"/>
              <w:bottom w:w="80" w:type="dxa"/>
              <w:right w:w="120" w:type="dxa"/>
            </w:tcMar>
            <w:vAlign w:val="center"/>
          </w:tcPr>
          <w:p w14:paraId="69948CCC" w14:textId="77777777" w:rsidR="00F52ED5" w:rsidRDefault="001541F8">
            <w:r>
              <w:rPr>
                <w:b/>
                <w:bCs/>
                <w:color w:val="000000"/>
                <w:sz w:val="18"/>
                <w:szCs w:val="18"/>
              </w:rPr>
              <w:t>Donación BID 5189/GR-CO</w:t>
            </w:r>
          </w:p>
        </w:tc>
        <w:tc>
          <w:tcPr>
            <w:tcW w:w="2000" w:type="dxa"/>
            <w:tcBorders>
              <w:top w:val="single" w:sz="4" w:space="0" w:color="BBBBBB"/>
              <w:left w:val="single" w:sz="4" w:space="0" w:color="BBBBBB"/>
              <w:bottom w:val="single" w:sz="4" w:space="0" w:color="BBBBBB"/>
              <w:right w:val="single" w:sz="4" w:space="0" w:color="BBBBBB"/>
            </w:tcBorders>
            <w:shd w:val="clear" w:color="auto" w:fill="F2F2F2"/>
            <w:tcMar>
              <w:top w:w="80" w:type="dxa"/>
              <w:left w:w="120" w:type="dxa"/>
              <w:bottom w:w="80" w:type="dxa"/>
              <w:right w:w="120" w:type="dxa"/>
            </w:tcMar>
            <w:vAlign w:val="center"/>
          </w:tcPr>
          <w:p w14:paraId="69948CCD" w14:textId="77777777" w:rsidR="00F52ED5" w:rsidRDefault="001541F8">
            <w:pPr>
              <w:jc w:val="center"/>
            </w:pPr>
            <w:r>
              <w:rPr>
                <w:color w:val="000000"/>
                <w:sz w:val="18"/>
                <w:szCs w:val="18"/>
              </w:rPr>
              <w:t>USD 7,75 M</w:t>
            </w:r>
          </w:p>
        </w:tc>
        <w:tc>
          <w:tcPr>
            <w:tcW w:w="2000" w:type="dxa"/>
            <w:tcBorders>
              <w:top w:val="single" w:sz="4" w:space="0" w:color="BBBBBB"/>
              <w:left w:val="single" w:sz="4" w:space="0" w:color="BBBBBB"/>
              <w:bottom w:val="single" w:sz="4" w:space="0" w:color="BBBBBB"/>
              <w:right w:val="single" w:sz="4" w:space="0" w:color="BBBBBB"/>
            </w:tcBorders>
            <w:shd w:val="clear" w:color="auto" w:fill="F2F2F2"/>
            <w:tcMar>
              <w:top w:w="80" w:type="dxa"/>
              <w:left w:w="120" w:type="dxa"/>
              <w:bottom w:w="80" w:type="dxa"/>
              <w:right w:w="120" w:type="dxa"/>
            </w:tcMar>
            <w:vAlign w:val="center"/>
          </w:tcPr>
          <w:p w14:paraId="69948CCE" w14:textId="77777777" w:rsidR="00F52ED5" w:rsidRDefault="001541F8">
            <w:pPr>
              <w:jc w:val="center"/>
            </w:pPr>
            <w:r>
              <w:rPr>
                <w:color w:val="000000"/>
                <w:sz w:val="18"/>
                <w:szCs w:val="18"/>
              </w:rPr>
              <w:t>USD 20.048.961.450 COP</w:t>
            </w:r>
          </w:p>
        </w:tc>
        <w:tc>
          <w:tcPr>
            <w:tcW w:w="2280" w:type="dxa"/>
            <w:tcBorders>
              <w:top w:val="single" w:sz="4" w:space="0" w:color="BBBBBB"/>
              <w:left w:val="single" w:sz="4" w:space="0" w:color="BBBBBB"/>
              <w:bottom w:val="single" w:sz="4" w:space="0" w:color="BBBBBB"/>
              <w:right w:val="single" w:sz="4" w:space="0" w:color="BBBBBB"/>
            </w:tcBorders>
            <w:shd w:val="clear" w:color="auto" w:fill="F2F2F2"/>
            <w:tcMar>
              <w:top w:w="80" w:type="dxa"/>
              <w:left w:w="120" w:type="dxa"/>
              <w:bottom w:w="80" w:type="dxa"/>
              <w:right w:w="120" w:type="dxa"/>
            </w:tcMar>
            <w:vAlign w:val="center"/>
          </w:tcPr>
          <w:p w14:paraId="69948CCF" w14:textId="77777777" w:rsidR="00F52ED5" w:rsidRDefault="001541F8">
            <w:pPr>
              <w:jc w:val="center"/>
            </w:pPr>
            <w:r>
              <w:rPr>
                <w:color w:val="000000"/>
                <w:sz w:val="18"/>
                <w:szCs w:val="18"/>
              </w:rPr>
              <w:t>USD 4,07 M ejecutados en 2025</w:t>
            </w:r>
          </w:p>
        </w:tc>
      </w:tr>
      <w:tr w:rsidR="00F52ED5" w14:paraId="69948CD5" w14:textId="77777777">
        <w:tc>
          <w:tcPr>
            <w:tcW w:w="2600" w:type="dxa"/>
            <w:tcBorders>
              <w:top w:val="single" w:sz="4" w:space="0" w:color="BBBBBB"/>
              <w:left w:val="single" w:sz="4" w:space="0" w:color="BBBBBB"/>
              <w:bottom w:val="single" w:sz="4" w:space="0" w:color="BBBBBB"/>
              <w:right w:val="single" w:sz="4" w:space="0" w:color="BBBBBB"/>
            </w:tcBorders>
            <w:shd w:val="clear" w:color="auto" w:fill="FFFFFF"/>
            <w:tcMar>
              <w:top w:w="80" w:type="dxa"/>
              <w:left w:w="120" w:type="dxa"/>
              <w:bottom w:w="80" w:type="dxa"/>
              <w:right w:w="120" w:type="dxa"/>
            </w:tcMar>
            <w:vAlign w:val="center"/>
          </w:tcPr>
          <w:p w14:paraId="69948CD1" w14:textId="77777777" w:rsidR="00F52ED5" w:rsidRDefault="001541F8">
            <w:r>
              <w:rPr>
                <w:b/>
                <w:bCs/>
                <w:color w:val="000000"/>
                <w:sz w:val="18"/>
                <w:szCs w:val="18"/>
              </w:rPr>
              <w:t>Donación COSUDE GRT/CF-18453</w:t>
            </w:r>
          </w:p>
        </w:tc>
        <w:tc>
          <w:tcPr>
            <w:tcW w:w="2000" w:type="dxa"/>
            <w:tcBorders>
              <w:top w:val="single" w:sz="4" w:space="0" w:color="BBBBBB"/>
              <w:left w:val="single" w:sz="4" w:space="0" w:color="BBBBBB"/>
              <w:bottom w:val="single" w:sz="4" w:space="0" w:color="BBBBBB"/>
              <w:right w:val="single" w:sz="4" w:space="0" w:color="BBBBBB"/>
            </w:tcBorders>
            <w:shd w:val="clear" w:color="auto" w:fill="FFFFFF"/>
            <w:tcMar>
              <w:top w:w="80" w:type="dxa"/>
              <w:left w:w="120" w:type="dxa"/>
              <w:bottom w:w="80" w:type="dxa"/>
              <w:right w:w="120" w:type="dxa"/>
            </w:tcMar>
            <w:vAlign w:val="center"/>
          </w:tcPr>
          <w:p w14:paraId="69948CD2" w14:textId="77777777" w:rsidR="00F52ED5" w:rsidRDefault="001541F8">
            <w:pPr>
              <w:jc w:val="center"/>
            </w:pPr>
            <w:r>
              <w:rPr>
                <w:color w:val="000000"/>
                <w:sz w:val="18"/>
                <w:szCs w:val="18"/>
              </w:rPr>
              <w:t>USD 5,00 M</w:t>
            </w:r>
          </w:p>
        </w:tc>
        <w:tc>
          <w:tcPr>
            <w:tcW w:w="2000" w:type="dxa"/>
            <w:tcBorders>
              <w:top w:val="single" w:sz="4" w:space="0" w:color="BBBBBB"/>
              <w:left w:val="single" w:sz="4" w:space="0" w:color="BBBBBB"/>
              <w:bottom w:val="single" w:sz="4" w:space="0" w:color="BBBBBB"/>
              <w:right w:val="single" w:sz="4" w:space="0" w:color="BBBBBB"/>
            </w:tcBorders>
            <w:shd w:val="clear" w:color="auto" w:fill="FFFFFF"/>
            <w:tcMar>
              <w:top w:w="80" w:type="dxa"/>
              <w:left w:w="120" w:type="dxa"/>
              <w:bottom w:w="80" w:type="dxa"/>
              <w:right w:w="120" w:type="dxa"/>
            </w:tcMar>
            <w:vAlign w:val="center"/>
          </w:tcPr>
          <w:p w14:paraId="69948CD3" w14:textId="77777777" w:rsidR="00F52ED5" w:rsidRDefault="001541F8">
            <w:pPr>
              <w:jc w:val="center"/>
            </w:pPr>
            <w:r>
              <w:rPr>
                <w:color w:val="000000"/>
                <w:sz w:val="18"/>
                <w:szCs w:val="18"/>
              </w:rPr>
              <w:t>USD 17.265,8 M COP</w:t>
            </w:r>
          </w:p>
        </w:tc>
        <w:tc>
          <w:tcPr>
            <w:tcW w:w="2280" w:type="dxa"/>
            <w:tcBorders>
              <w:top w:val="single" w:sz="4" w:space="0" w:color="BBBBBB"/>
              <w:left w:val="single" w:sz="4" w:space="0" w:color="BBBBBB"/>
              <w:bottom w:val="single" w:sz="4" w:space="0" w:color="BBBBBB"/>
              <w:right w:val="single" w:sz="4" w:space="0" w:color="BBBBBB"/>
            </w:tcBorders>
            <w:shd w:val="clear" w:color="auto" w:fill="FFFFFF"/>
            <w:tcMar>
              <w:top w:w="80" w:type="dxa"/>
              <w:left w:w="120" w:type="dxa"/>
              <w:bottom w:w="80" w:type="dxa"/>
              <w:right w:w="120" w:type="dxa"/>
            </w:tcMar>
            <w:vAlign w:val="center"/>
          </w:tcPr>
          <w:p w14:paraId="69948CD4" w14:textId="77777777" w:rsidR="00F52ED5" w:rsidRDefault="001541F8">
            <w:pPr>
              <w:jc w:val="center"/>
            </w:pPr>
            <w:r>
              <w:rPr>
                <w:color w:val="000000"/>
                <w:sz w:val="18"/>
                <w:szCs w:val="18"/>
              </w:rPr>
              <w:t>USD 2,57 M ejecutados en 2025</w:t>
            </w:r>
          </w:p>
        </w:tc>
      </w:tr>
      <w:tr w:rsidR="00F52ED5" w14:paraId="69948CDA" w14:textId="77777777">
        <w:tc>
          <w:tcPr>
            <w:tcW w:w="2600" w:type="dxa"/>
            <w:tcBorders>
              <w:top w:val="single" w:sz="4" w:space="0" w:color="BBBBBB"/>
              <w:left w:val="single" w:sz="4" w:space="0" w:color="BBBBBB"/>
              <w:bottom w:val="single" w:sz="4" w:space="0" w:color="BBBBBB"/>
              <w:right w:val="single" w:sz="4" w:space="0" w:color="BBBBBB"/>
            </w:tcBorders>
            <w:shd w:val="clear" w:color="auto" w:fill="D6E4F0"/>
            <w:tcMar>
              <w:top w:w="80" w:type="dxa"/>
              <w:left w:w="120" w:type="dxa"/>
              <w:bottom w:w="80" w:type="dxa"/>
              <w:right w:w="120" w:type="dxa"/>
            </w:tcMar>
            <w:vAlign w:val="center"/>
          </w:tcPr>
          <w:p w14:paraId="69948CD6" w14:textId="77777777" w:rsidR="00F52ED5" w:rsidRDefault="001541F8">
            <w:r>
              <w:rPr>
                <w:b/>
                <w:bCs/>
                <w:color w:val="000000"/>
                <w:sz w:val="18"/>
                <w:szCs w:val="18"/>
              </w:rPr>
              <w:t>TOTAL PROGRAMA</w:t>
            </w:r>
          </w:p>
        </w:tc>
        <w:tc>
          <w:tcPr>
            <w:tcW w:w="2000" w:type="dxa"/>
            <w:tcBorders>
              <w:top w:val="single" w:sz="4" w:space="0" w:color="BBBBBB"/>
              <w:left w:val="single" w:sz="4" w:space="0" w:color="BBBBBB"/>
              <w:bottom w:val="single" w:sz="4" w:space="0" w:color="BBBBBB"/>
              <w:right w:val="single" w:sz="4" w:space="0" w:color="BBBBBB"/>
            </w:tcBorders>
            <w:shd w:val="clear" w:color="auto" w:fill="D6E4F0"/>
            <w:tcMar>
              <w:top w:w="80" w:type="dxa"/>
              <w:left w:w="120" w:type="dxa"/>
              <w:bottom w:w="80" w:type="dxa"/>
              <w:right w:w="120" w:type="dxa"/>
            </w:tcMar>
            <w:vAlign w:val="center"/>
          </w:tcPr>
          <w:p w14:paraId="69948CD7" w14:textId="595C8F08" w:rsidR="00F52ED5" w:rsidRDefault="001541F8">
            <w:pPr>
              <w:jc w:val="center"/>
            </w:pPr>
            <w:r>
              <w:rPr>
                <w:b/>
                <w:bCs/>
                <w:color w:val="000000"/>
                <w:sz w:val="18"/>
                <w:szCs w:val="18"/>
              </w:rPr>
              <w:t>~COP $2</w:t>
            </w:r>
            <w:r w:rsidR="00E97615">
              <w:rPr>
                <w:b/>
                <w:bCs/>
                <w:color w:val="000000"/>
                <w:sz w:val="18"/>
                <w:szCs w:val="18"/>
              </w:rPr>
              <w:t>20</w:t>
            </w:r>
            <w:r>
              <w:rPr>
                <w:b/>
                <w:bCs/>
                <w:color w:val="000000"/>
                <w:sz w:val="18"/>
                <w:szCs w:val="18"/>
              </w:rPr>
              <w:t xml:space="preserve">.000 M </w:t>
            </w:r>
            <w:proofErr w:type="spellStart"/>
            <w:r>
              <w:rPr>
                <w:b/>
                <w:bCs/>
                <w:color w:val="000000"/>
                <w:sz w:val="18"/>
                <w:szCs w:val="18"/>
              </w:rPr>
              <w:t>equiv</w:t>
            </w:r>
            <w:proofErr w:type="spellEnd"/>
            <w:r>
              <w:rPr>
                <w:b/>
                <w:bCs/>
                <w:color w:val="000000"/>
                <w:sz w:val="18"/>
                <w:szCs w:val="18"/>
              </w:rPr>
              <w:t>.</w:t>
            </w:r>
          </w:p>
        </w:tc>
        <w:tc>
          <w:tcPr>
            <w:tcW w:w="2000" w:type="dxa"/>
            <w:tcBorders>
              <w:top w:val="single" w:sz="4" w:space="0" w:color="BBBBBB"/>
              <w:left w:val="single" w:sz="4" w:space="0" w:color="BBBBBB"/>
              <w:bottom w:val="single" w:sz="4" w:space="0" w:color="BBBBBB"/>
              <w:right w:val="single" w:sz="4" w:space="0" w:color="BBBBBB"/>
            </w:tcBorders>
            <w:shd w:val="clear" w:color="auto" w:fill="D6E4F0"/>
            <w:tcMar>
              <w:top w:w="80" w:type="dxa"/>
              <w:left w:w="120" w:type="dxa"/>
              <w:bottom w:w="80" w:type="dxa"/>
              <w:right w:w="120" w:type="dxa"/>
            </w:tcMar>
            <w:vAlign w:val="center"/>
          </w:tcPr>
          <w:p w14:paraId="69948CD8" w14:textId="77777777" w:rsidR="00F52ED5" w:rsidRDefault="001541F8">
            <w:pPr>
              <w:jc w:val="center"/>
            </w:pPr>
            <w:r>
              <w:rPr>
                <w:b/>
                <w:bCs/>
                <w:color w:val="000000"/>
                <w:sz w:val="18"/>
                <w:szCs w:val="18"/>
              </w:rPr>
              <w:t>COP $169.893,7 M a fiducia</w:t>
            </w:r>
          </w:p>
        </w:tc>
        <w:tc>
          <w:tcPr>
            <w:tcW w:w="2280" w:type="dxa"/>
            <w:tcBorders>
              <w:top w:val="single" w:sz="4" w:space="0" w:color="BBBBBB"/>
              <w:left w:val="single" w:sz="4" w:space="0" w:color="BBBBBB"/>
              <w:bottom w:val="single" w:sz="4" w:space="0" w:color="BBBBBB"/>
              <w:right w:val="single" w:sz="4" w:space="0" w:color="BBBBBB"/>
            </w:tcBorders>
            <w:shd w:val="clear" w:color="auto" w:fill="D6E4F0"/>
            <w:tcMar>
              <w:top w:w="80" w:type="dxa"/>
              <w:left w:w="120" w:type="dxa"/>
              <w:bottom w:w="80" w:type="dxa"/>
              <w:right w:w="120" w:type="dxa"/>
            </w:tcMar>
            <w:vAlign w:val="center"/>
          </w:tcPr>
          <w:p w14:paraId="69948CD9" w14:textId="77777777" w:rsidR="00F52ED5" w:rsidRDefault="001541F8">
            <w:pPr>
              <w:jc w:val="center"/>
            </w:pPr>
            <w:r>
              <w:rPr>
                <w:b/>
                <w:bCs/>
                <w:color w:val="000000"/>
                <w:sz w:val="18"/>
                <w:szCs w:val="18"/>
              </w:rPr>
              <w:t>Ejecución acumulada 2021-2026</w:t>
            </w:r>
          </w:p>
        </w:tc>
      </w:tr>
    </w:tbl>
    <w:p w14:paraId="69948CDB" w14:textId="77777777" w:rsidR="00F52ED5" w:rsidRDefault="001541F8">
      <w:pPr>
        <w:spacing w:before="60"/>
      </w:pPr>
      <w:r>
        <w:rPr>
          <w:color w:val="666666"/>
          <w:sz w:val="16"/>
          <w:szCs w:val="16"/>
        </w:rPr>
        <w:t xml:space="preserve">* Incluye giros directos desde MVCT y transferencias a </w:t>
      </w:r>
      <w:proofErr w:type="spellStart"/>
      <w:r>
        <w:rPr>
          <w:color w:val="666666"/>
          <w:sz w:val="16"/>
          <w:szCs w:val="16"/>
        </w:rPr>
        <w:t>Fidupopular</w:t>
      </w:r>
      <w:proofErr w:type="spellEnd"/>
      <w:r>
        <w:rPr>
          <w:color w:val="666666"/>
          <w:sz w:val="16"/>
          <w:szCs w:val="16"/>
        </w:rPr>
        <w:t>. Total giros a fiducia de todas las fuentes: COP $169.893.697.756.</w:t>
      </w:r>
    </w:p>
    <w:p w14:paraId="69948CDD" w14:textId="77777777" w:rsidR="00F52ED5" w:rsidRDefault="001541F8">
      <w:pPr>
        <w:pStyle w:val="Ttulo2"/>
      </w:pPr>
      <w:r>
        <w:t>1.5 La Unidad Coordinadora del Programa (UCP): pilar de la buena ejecución</w:t>
      </w:r>
    </w:p>
    <w:p w14:paraId="69948CDE" w14:textId="77777777" w:rsidR="00F52ED5" w:rsidRDefault="001541F8">
      <w:pPr>
        <w:spacing w:before="80" w:after="80" w:line="276" w:lineRule="auto"/>
        <w:jc w:val="both"/>
      </w:pPr>
      <w:r>
        <w:rPr>
          <w:color w:val="000000"/>
        </w:rPr>
        <w:t>La Unidad Coordinadora del Programa (UCP) del Ministerio de Vivienda, Ciudad y Territorio es la instancia técnica, administrativa y financiera que articula al BID, al MVCT y a la Gerencia Integral del Programa (GIP) para garantizar el cumplimiento eficiente de todos los componentes y la normativa del Contrato de Préstamo. La UCP es el eslabón de control y supervisión que da coherencia al Programa como un todo.</w:t>
      </w:r>
    </w:p>
    <w:p w14:paraId="69948CE0" w14:textId="408F6E9C" w:rsidR="00F52ED5" w:rsidRDefault="007D25A6">
      <w:pPr>
        <w:spacing w:before="80" w:after="80" w:line="276" w:lineRule="auto"/>
        <w:jc w:val="both"/>
      </w:pPr>
      <w:r>
        <w:rPr>
          <w:color w:val="000000"/>
        </w:rPr>
        <w:t>L</w:t>
      </w:r>
      <w:r w:rsidR="001541F8">
        <w:rPr>
          <w:color w:val="000000"/>
        </w:rPr>
        <w:t xml:space="preserve">a continuidad del equipo de la UCP durante </w:t>
      </w:r>
      <w:r w:rsidR="00032AEE">
        <w:rPr>
          <w:color w:val="000000"/>
        </w:rPr>
        <w:t>todo el periodo de ejecución del Programa</w:t>
      </w:r>
      <w:r w:rsidR="001541F8">
        <w:rPr>
          <w:color w:val="000000"/>
        </w:rPr>
        <w:t xml:space="preserve"> fue uno de los tres factores críticos de éxito del Programa. La memoria institucional acumulada —sobre procedimientos del BID, condiciones territoriales de La Guajira, relaciones con los municipios y los operadores, y mecanismos presupuestales del Estado colombiano— resultó determinante para navegar un entorno de alta complejidad: inflación acelerada, volatilidad cambiaria, restricciones presupuestales y condiciones geológicas y de orden público no previstas.</w:t>
      </w:r>
    </w:p>
    <w:p w14:paraId="69948CE2" w14:textId="77777777" w:rsidR="00F52ED5" w:rsidRDefault="001541F8">
      <w:pPr>
        <w:pStyle w:val="Ttulo3"/>
      </w:pPr>
      <w:r>
        <w:t>Estructura y funciones de la UCP</w:t>
      </w:r>
    </w:p>
    <w:p w14:paraId="69948CE3" w14:textId="77777777" w:rsidR="00F52ED5" w:rsidRDefault="001541F8">
      <w:pPr>
        <w:spacing w:before="80" w:after="80" w:line="276" w:lineRule="auto"/>
        <w:jc w:val="both"/>
      </w:pPr>
      <w:r>
        <w:rPr>
          <w:color w:val="000000"/>
        </w:rPr>
        <w:t>La UCP está conformada por un equipo interdisciplinario de siete profesionales especializados, liderado por el Coordinador del Programa, responsable ante el BID y ante el Viceministerio de Agua y Saneamiento Básico:</w:t>
      </w:r>
    </w:p>
    <w:p w14:paraId="69948CE4" w14:textId="77777777" w:rsidR="00F52ED5" w:rsidRDefault="001541F8">
      <w:pPr>
        <w:pStyle w:val="Prrafodelista"/>
        <w:numPr>
          <w:ilvl w:val="0"/>
          <w:numId w:val="2"/>
        </w:numPr>
        <w:spacing w:before="60" w:after="60"/>
      </w:pPr>
      <w:r>
        <w:t>Coordinador: responsable de la supervisión integral del Programa, la relación con el BID, la dirección de la UCP y la toma de decisiones estratégicas.</w:t>
      </w:r>
    </w:p>
    <w:p w14:paraId="69948CE5" w14:textId="77777777" w:rsidR="00F52ED5" w:rsidRDefault="001541F8">
      <w:pPr>
        <w:pStyle w:val="Prrafodelista"/>
        <w:numPr>
          <w:ilvl w:val="0"/>
          <w:numId w:val="2"/>
        </w:numPr>
        <w:spacing w:before="60" w:after="60"/>
      </w:pPr>
      <w:r>
        <w:t>Especialista Financiera: gestión de desembolsos, registros en SIIF, control de ejecución financiera por fuente, coordinación con el MHCP y la Subdirección de Finanzas del MVCT.</w:t>
      </w:r>
    </w:p>
    <w:p w14:paraId="69948CE6" w14:textId="77777777" w:rsidR="00F52ED5" w:rsidRDefault="001541F8">
      <w:pPr>
        <w:pStyle w:val="Prrafodelista"/>
        <w:numPr>
          <w:ilvl w:val="0"/>
          <w:numId w:val="2"/>
        </w:numPr>
        <w:spacing w:before="60" w:after="60"/>
      </w:pPr>
      <w:r>
        <w:t>Especialista de Adquisiciones: seguimiento al Plan de Adquisiciones en el Portal del Cliente del BID, no objeciones y procesos contractuales.</w:t>
      </w:r>
    </w:p>
    <w:p w14:paraId="69948CE7" w14:textId="77777777" w:rsidR="00F52ED5" w:rsidRDefault="001541F8">
      <w:pPr>
        <w:pStyle w:val="Prrafodelista"/>
        <w:numPr>
          <w:ilvl w:val="0"/>
          <w:numId w:val="2"/>
        </w:numPr>
        <w:spacing w:before="60" w:after="60"/>
      </w:pPr>
      <w:r>
        <w:t>Especialista de Planeación y Evaluación: PMR, POA, PEP, análisis de avance físico-financiero y reportes al DNP.</w:t>
      </w:r>
    </w:p>
    <w:p w14:paraId="69948CE8" w14:textId="77777777" w:rsidR="00F52ED5" w:rsidRDefault="001541F8" w:rsidP="00B33169">
      <w:pPr>
        <w:pStyle w:val="Prrafodelista"/>
        <w:numPr>
          <w:ilvl w:val="0"/>
          <w:numId w:val="2"/>
        </w:numPr>
        <w:spacing w:before="60" w:after="60"/>
        <w:jc w:val="both"/>
      </w:pPr>
      <w:r>
        <w:t>Especialista Técnico: supervisión técnica de las cuatro obras, revisión de diseños, reformulaciones e informes de interventoría.</w:t>
      </w:r>
    </w:p>
    <w:p w14:paraId="69948CE9" w14:textId="14E28ECE" w:rsidR="00F52ED5" w:rsidRDefault="001541F8" w:rsidP="00B33169">
      <w:pPr>
        <w:pStyle w:val="Prrafodelista"/>
        <w:numPr>
          <w:ilvl w:val="0"/>
          <w:numId w:val="2"/>
        </w:numPr>
        <w:spacing w:before="60" w:after="60"/>
        <w:jc w:val="both"/>
      </w:pPr>
      <w:r>
        <w:t xml:space="preserve">Especialista de Monitoreo y </w:t>
      </w:r>
      <w:r w:rsidR="00106D1A">
        <w:t>Gestión</w:t>
      </w:r>
      <w:r w:rsidR="00B33169">
        <w:t xml:space="preserve"> Territorial</w:t>
      </w:r>
      <w:r>
        <w:t xml:space="preserve">: </w:t>
      </w:r>
      <w:r w:rsidR="00106D1A">
        <w:t>relacionamiento con los entes territoriales y la comunidad</w:t>
      </w:r>
      <w:r>
        <w:t xml:space="preserve">, </w:t>
      </w:r>
      <w:r w:rsidR="00106D1A">
        <w:t>monitoreo constante técnico, financiero y social del avance de las obras</w:t>
      </w:r>
      <w:r>
        <w:t>.</w:t>
      </w:r>
    </w:p>
    <w:p w14:paraId="69948CEA" w14:textId="77777777" w:rsidR="00F52ED5" w:rsidRDefault="001541F8" w:rsidP="00106D1A">
      <w:pPr>
        <w:pStyle w:val="Prrafodelista"/>
        <w:numPr>
          <w:ilvl w:val="0"/>
          <w:numId w:val="2"/>
        </w:numPr>
        <w:spacing w:before="60" w:after="60"/>
        <w:jc w:val="both"/>
      </w:pPr>
      <w:r>
        <w:t>Profesional Social: gestión social y comunitaria, talleres de género, relacionamiento con municipios y comunidades vulnerables.</w:t>
      </w:r>
    </w:p>
    <w:p w14:paraId="69948CEC" w14:textId="77777777" w:rsidR="00F52ED5" w:rsidRDefault="001541F8">
      <w:pPr>
        <w:spacing w:before="80" w:after="80" w:line="276" w:lineRule="auto"/>
        <w:jc w:val="both"/>
      </w:pPr>
      <w:r>
        <w:rPr>
          <w:color w:val="000000"/>
        </w:rPr>
        <w:t>La GIP (Consorcio IEHG-JVP La Guajira, Contrato No. 1127/2021) actúa como brazo ejecutor del Programa bajo supervisión directa de la UCP, asumiendo las funciones de interventoría de diseños, formulación de licitaciones, supervisión de obras, y asistencia técnica, jurídica, administrativa y financiera. Los pagos a contratistas e interventores de obra se canalizan a través del esquema fiduciario (</w:t>
      </w:r>
      <w:proofErr w:type="spellStart"/>
      <w:r>
        <w:rPr>
          <w:color w:val="000000"/>
        </w:rPr>
        <w:t>Fidupopular</w:t>
      </w:r>
      <w:proofErr w:type="spellEnd"/>
      <w:r>
        <w:rPr>
          <w:color w:val="000000"/>
        </w:rPr>
        <w:t>), cuyo control y trazabilidad son responsabilidad de la UCP.</w:t>
      </w:r>
    </w:p>
    <w:p w14:paraId="69948CEE" w14:textId="4552D2F7" w:rsidR="00F52ED5" w:rsidRDefault="001541F8">
      <w:pPr>
        <w:pStyle w:val="Ttulo3"/>
      </w:pPr>
      <w:r>
        <w:lastRenderedPageBreak/>
        <w:t xml:space="preserve">Logros institucionales de la UCP en el período </w:t>
      </w:r>
      <w:r w:rsidR="00106D1A">
        <w:t>del Programa</w:t>
      </w:r>
    </w:p>
    <w:p w14:paraId="69948CEF" w14:textId="77777777" w:rsidR="00F52ED5" w:rsidRDefault="001541F8" w:rsidP="00106D1A">
      <w:pPr>
        <w:pStyle w:val="Prrafodelista"/>
        <w:numPr>
          <w:ilvl w:val="0"/>
          <w:numId w:val="2"/>
        </w:numPr>
        <w:spacing w:before="60" w:after="60"/>
        <w:jc w:val="both"/>
      </w:pPr>
      <w:r>
        <w:t>Gestión de la declaratoria de Importancia Estratégica (CONPES 4059) que aseguró el espacio fiscal multianual 2022-2026 para la ejecución ininterrumpida del Programa.</w:t>
      </w:r>
    </w:p>
    <w:p w14:paraId="69948CF0" w14:textId="77777777" w:rsidR="00F52ED5" w:rsidRDefault="001541F8" w:rsidP="00106D1A">
      <w:pPr>
        <w:pStyle w:val="Prrafodelista"/>
        <w:numPr>
          <w:ilvl w:val="0"/>
          <w:numId w:val="2"/>
        </w:numPr>
        <w:spacing w:before="60" w:after="60"/>
        <w:jc w:val="both"/>
      </w:pPr>
      <w:r>
        <w:t>Parametrización directa de las dos donaciones internacionales en el SIIF —una función que excede las responsabilidades habituales de una UCP— con capacitación especializada en el MHCP, habilitando la ejecución de USD 12,75 millones en cooperación no reembolsable.</w:t>
      </w:r>
    </w:p>
    <w:p w14:paraId="69948CF1" w14:textId="77777777" w:rsidR="00F52ED5" w:rsidRDefault="001541F8" w:rsidP="00106D1A">
      <w:pPr>
        <w:pStyle w:val="Prrafodelista"/>
        <w:numPr>
          <w:ilvl w:val="0"/>
          <w:numId w:val="2"/>
        </w:numPr>
        <w:spacing w:before="60" w:after="60"/>
        <w:jc w:val="both"/>
      </w:pPr>
      <w:r>
        <w:t>Mantenimiento de un flujo de caja constante hacia la Fiducia: COP $169.893.697.756 en giros totales (Préstamo + Donaciones) que garantizaron la continuidad de los pagos a contratistas sin interrupciones por disponibilidad de recursos.</w:t>
      </w:r>
    </w:p>
    <w:p w14:paraId="69948CF2" w14:textId="77777777" w:rsidR="00F52ED5" w:rsidRDefault="001541F8" w:rsidP="00106D1A">
      <w:pPr>
        <w:pStyle w:val="Prrafodelista"/>
        <w:numPr>
          <w:ilvl w:val="0"/>
          <w:numId w:val="2"/>
        </w:numPr>
        <w:spacing w:before="60" w:after="60"/>
        <w:jc w:val="both"/>
      </w:pPr>
      <w:r>
        <w:t>Ajuste y actualización continua de presupuestos de obra ante el Comité Técnico del Viceministerio en contexto de alta inflación 2022-2023, con soporte técnico riguroso para cada reformulación.</w:t>
      </w:r>
    </w:p>
    <w:p w14:paraId="69948CF3" w14:textId="77777777" w:rsidR="00F52ED5" w:rsidRDefault="001541F8" w:rsidP="00106D1A">
      <w:pPr>
        <w:pStyle w:val="Prrafodelista"/>
        <w:numPr>
          <w:ilvl w:val="0"/>
          <w:numId w:val="2"/>
        </w:numPr>
        <w:spacing w:before="60" w:after="60"/>
        <w:jc w:val="both"/>
      </w:pPr>
      <w:r>
        <w:t>Producción de todos los informes semestrales de progreso al BID, auditorías anuales, Evaluación de Medio Término y reportes al DNP con calificaciones satisfactorias.</w:t>
      </w:r>
    </w:p>
    <w:p w14:paraId="69948CF4" w14:textId="77777777" w:rsidR="00F52ED5" w:rsidRDefault="001541F8" w:rsidP="00106D1A">
      <w:pPr>
        <w:pStyle w:val="Prrafodelista"/>
        <w:numPr>
          <w:ilvl w:val="0"/>
          <w:numId w:val="2"/>
        </w:numPr>
        <w:spacing w:before="60" w:after="60"/>
        <w:jc w:val="both"/>
      </w:pPr>
      <w:r>
        <w:t>Auditoría de la Contraloría General de la República (CGR-CDVSB-019-2026): resultado favorable 'Sin Reservas', que certifica la gestión transparente y eficiente del Programa.</w:t>
      </w:r>
    </w:p>
    <w:p w14:paraId="72E9F37F" w14:textId="150DF02D" w:rsidR="0062401E" w:rsidRDefault="0062401E" w:rsidP="0062401E">
      <w:pPr>
        <w:pStyle w:val="Prrafodelista"/>
        <w:numPr>
          <w:ilvl w:val="0"/>
          <w:numId w:val="2"/>
        </w:numPr>
        <w:spacing w:before="60" w:after="60"/>
      </w:pPr>
      <w:r>
        <w:t>Traslado presupuestal de $18.525 M de recursos ordinarios del PGN aprobado para extender la ejecución hasta mayo de 2026.</w:t>
      </w:r>
    </w:p>
    <w:p w14:paraId="69948CF6" w14:textId="77777777" w:rsidR="00F52ED5" w:rsidRDefault="001541F8">
      <w:pPr>
        <w:pStyle w:val="Ttulo1"/>
      </w:pPr>
      <w:r>
        <w:t>2. Componente 1: Obras de Infraestructura de Agua y Saneamiento</w:t>
      </w:r>
    </w:p>
    <w:p w14:paraId="69948CF7" w14:textId="77777777" w:rsidR="00F52ED5" w:rsidRDefault="001541F8">
      <w:pPr>
        <w:pStyle w:val="Ttulo2"/>
      </w:pPr>
      <w:r>
        <w:t>2.1 Panorama general del Componente 1</w:t>
      </w:r>
    </w:p>
    <w:p w14:paraId="69948CF8" w14:textId="77777777" w:rsidR="00F52ED5" w:rsidRDefault="001541F8">
      <w:pPr>
        <w:spacing w:before="80" w:after="80" w:line="276" w:lineRule="auto"/>
        <w:jc w:val="both"/>
      </w:pPr>
      <w:r>
        <w:rPr>
          <w:color w:val="000000"/>
        </w:rPr>
        <w:t>En el marco del Componente 1, se estructuraron y contrataron cuatro proyectos de infraestructura: tres sistemas de acueducto (Riohacha, Fonseca y Urumita) y un sistema de alcantarillado (Fonseca), que suman un valor aprobado de $209.540 millones de pesos. Todas las obras fueron contratadas mediante procesos licitatorios bajo las Políticas de Adquisiciones del BID, y se ejecutan a través de la Gerencia Integral del Programa (GIP) bajo supervisión directa de la UCP.</w:t>
      </w:r>
    </w:p>
    <w:p w14:paraId="69948CFA" w14:textId="3199BC2C" w:rsidR="00F52ED5" w:rsidRDefault="001541F8">
      <w:pPr>
        <w:spacing w:before="80" w:after="80" w:line="276" w:lineRule="auto"/>
        <w:jc w:val="both"/>
      </w:pPr>
      <w:r>
        <w:rPr>
          <w:color w:val="000000"/>
        </w:rPr>
        <w:t xml:space="preserve">El cuadro a continuación resume el estado de avance a </w:t>
      </w:r>
      <w:r w:rsidR="00EA6A7C">
        <w:rPr>
          <w:color w:val="000000"/>
        </w:rPr>
        <w:t>30</w:t>
      </w:r>
      <w:r>
        <w:rPr>
          <w:color w:val="000000"/>
        </w:rPr>
        <w:t xml:space="preserve"> de junio de 2026:</w:t>
      </w:r>
    </w:p>
    <w:tbl>
      <w:tblPr>
        <w:tblW w:w="88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2880"/>
        <w:gridCol w:w="2200"/>
        <w:gridCol w:w="2000"/>
        <w:gridCol w:w="1800"/>
      </w:tblGrid>
      <w:tr w:rsidR="00F52ED5" w14:paraId="69948D00" w14:textId="77777777">
        <w:trPr>
          <w:tblHeader/>
        </w:trPr>
        <w:tc>
          <w:tcPr>
            <w:tcW w:w="2880" w:type="dxa"/>
            <w:tcBorders>
              <w:top w:val="single" w:sz="4" w:space="0" w:color="BBBBBB"/>
              <w:left w:val="single" w:sz="4" w:space="0" w:color="BBBBBB"/>
              <w:bottom w:val="single" w:sz="4" w:space="0" w:color="BBBBBB"/>
              <w:right w:val="single" w:sz="4" w:space="0" w:color="BBBBBB"/>
            </w:tcBorders>
            <w:shd w:val="clear" w:color="auto" w:fill="1F4E79"/>
            <w:tcMar>
              <w:top w:w="80" w:type="dxa"/>
              <w:left w:w="120" w:type="dxa"/>
              <w:bottom w:w="80" w:type="dxa"/>
              <w:right w:w="120" w:type="dxa"/>
            </w:tcMar>
            <w:vAlign w:val="center"/>
          </w:tcPr>
          <w:p w14:paraId="69948CFC" w14:textId="77777777" w:rsidR="00F52ED5" w:rsidRDefault="001541F8">
            <w:pPr>
              <w:jc w:val="center"/>
            </w:pPr>
            <w:r>
              <w:rPr>
                <w:b/>
                <w:bCs/>
                <w:color w:val="FFFFFF"/>
                <w:sz w:val="18"/>
                <w:szCs w:val="18"/>
              </w:rPr>
              <w:t>Proyecto</w:t>
            </w:r>
          </w:p>
        </w:tc>
        <w:tc>
          <w:tcPr>
            <w:tcW w:w="2200" w:type="dxa"/>
            <w:tcBorders>
              <w:top w:val="single" w:sz="4" w:space="0" w:color="BBBBBB"/>
              <w:left w:val="single" w:sz="4" w:space="0" w:color="BBBBBB"/>
              <w:bottom w:val="single" w:sz="4" w:space="0" w:color="BBBBBB"/>
              <w:right w:val="single" w:sz="4" w:space="0" w:color="BBBBBB"/>
            </w:tcBorders>
            <w:shd w:val="clear" w:color="auto" w:fill="1F4E79"/>
            <w:tcMar>
              <w:top w:w="80" w:type="dxa"/>
              <w:left w:w="120" w:type="dxa"/>
              <w:bottom w:w="80" w:type="dxa"/>
              <w:right w:w="120" w:type="dxa"/>
            </w:tcMar>
            <w:vAlign w:val="center"/>
          </w:tcPr>
          <w:p w14:paraId="69948CFD" w14:textId="77777777" w:rsidR="00F52ED5" w:rsidRDefault="001541F8">
            <w:pPr>
              <w:jc w:val="center"/>
            </w:pPr>
            <w:r>
              <w:rPr>
                <w:b/>
                <w:bCs/>
                <w:color w:val="FFFFFF"/>
                <w:sz w:val="18"/>
                <w:szCs w:val="18"/>
              </w:rPr>
              <w:t>Valor aprobado</w:t>
            </w:r>
          </w:p>
        </w:tc>
        <w:tc>
          <w:tcPr>
            <w:tcW w:w="2000" w:type="dxa"/>
            <w:tcBorders>
              <w:top w:val="single" w:sz="4" w:space="0" w:color="BBBBBB"/>
              <w:left w:val="single" w:sz="4" w:space="0" w:color="BBBBBB"/>
              <w:bottom w:val="single" w:sz="4" w:space="0" w:color="BBBBBB"/>
              <w:right w:val="single" w:sz="4" w:space="0" w:color="BBBBBB"/>
            </w:tcBorders>
            <w:shd w:val="clear" w:color="auto" w:fill="1F4E79"/>
            <w:tcMar>
              <w:top w:w="80" w:type="dxa"/>
              <w:left w:w="120" w:type="dxa"/>
              <w:bottom w:w="80" w:type="dxa"/>
              <w:right w:w="120" w:type="dxa"/>
            </w:tcMar>
            <w:vAlign w:val="center"/>
          </w:tcPr>
          <w:p w14:paraId="69948CFE" w14:textId="77777777" w:rsidR="00F52ED5" w:rsidRDefault="001541F8">
            <w:pPr>
              <w:jc w:val="center"/>
            </w:pPr>
            <w:r>
              <w:rPr>
                <w:b/>
                <w:bCs/>
                <w:color w:val="FFFFFF"/>
                <w:sz w:val="18"/>
                <w:szCs w:val="18"/>
              </w:rPr>
              <w:t>Avance físico (15 jun 2026)</w:t>
            </w:r>
          </w:p>
        </w:tc>
        <w:tc>
          <w:tcPr>
            <w:tcW w:w="1800" w:type="dxa"/>
            <w:tcBorders>
              <w:top w:val="single" w:sz="4" w:space="0" w:color="BBBBBB"/>
              <w:left w:val="single" w:sz="4" w:space="0" w:color="BBBBBB"/>
              <w:bottom w:val="single" w:sz="4" w:space="0" w:color="BBBBBB"/>
              <w:right w:val="single" w:sz="4" w:space="0" w:color="BBBBBB"/>
            </w:tcBorders>
            <w:shd w:val="clear" w:color="auto" w:fill="1F4E79"/>
            <w:tcMar>
              <w:top w:w="80" w:type="dxa"/>
              <w:left w:w="120" w:type="dxa"/>
              <w:bottom w:w="80" w:type="dxa"/>
              <w:right w:w="120" w:type="dxa"/>
            </w:tcMar>
            <w:vAlign w:val="center"/>
          </w:tcPr>
          <w:p w14:paraId="69948CFF" w14:textId="77777777" w:rsidR="00F52ED5" w:rsidRDefault="001541F8">
            <w:pPr>
              <w:jc w:val="center"/>
            </w:pPr>
            <w:r>
              <w:rPr>
                <w:b/>
                <w:bCs/>
                <w:color w:val="FFFFFF"/>
                <w:sz w:val="18"/>
                <w:szCs w:val="18"/>
              </w:rPr>
              <w:t>Estado principal</w:t>
            </w:r>
          </w:p>
        </w:tc>
      </w:tr>
      <w:tr w:rsidR="00F52ED5" w14:paraId="69948D05" w14:textId="77777777">
        <w:tc>
          <w:tcPr>
            <w:tcW w:w="2880" w:type="dxa"/>
            <w:tcBorders>
              <w:top w:val="single" w:sz="4" w:space="0" w:color="BBBBBB"/>
              <w:left w:val="single" w:sz="4" w:space="0" w:color="BBBBBB"/>
              <w:bottom w:val="single" w:sz="4" w:space="0" w:color="BBBBBB"/>
              <w:right w:val="single" w:sz="4" w:space="0" w:color="BBBBBB"/>
            </w:tcBorders>
            <w:shd w:val="clear" w:color="auto" w:fill="FFFFFF"/>
            <w:tcMar>
              <w:top w:w="80" w:type="dxa"/>
              <w:left w:w="120" w:type="dxa"/>
              <w:bottom w:w="80" w:type="dxa"/>
              <w:right w:w="120" w:type="dxa"/>
            </w:tcMar>
            <w:vAlign w:val="center"/>
          </w:tcPr>
          <w:p w14:paraId="69948D01" w14:textId="77777777" w:rsidR="00F52ED5" w:rsidRDefault="001541F8">
            <w:r>
              <w:rPr>
                <w:b/>
                <w:bCs/>
                <w:color w:val="000000"/>
                <w:sz w:val="18"/>
                <w:szCs w:val="18"/>
              </w:rPr>
              <w:t>Acueducto de Riohacha</w:t>
            </w:r>
          </w:p>
        </w:tc>
        <w:tc>
          <w:tcPr>
            <w:tcW w:w="2200" w:type="dxa"/>
            <w:tcBorders>
              <w:top w:val="single" w:sz="4" w:space="0" w:color="BBBBBB"/>
              <w:left w:val="single" w:sz="4" w:space="0" w:color="BBBBBB"/>
              <w:bottom w:val="single" w:sz="4" w:space="0" w:color="BBBBBB"/>
              <w:right w:val="single" w:sz="4" w:space="0" w:color="BBBBBB"/>
            </w:tcBorders>
            <w:shd w:val="clear" w:color="auto" w:fill="FFFFFF"/>
            <w:tcMar>
              <w:top w:w="80" w:type="dxa"/>
              <w:left w:w="120" w:type="dxa"/>
              <w:bottom w:w="80" w:type="dxa"/>
              <w:right w:w="120" w:type="dxa"/>
            </w:tcMar>
            <w:vAlign w:val="center"/>
          </w:tcPr>
          <w:p w14:paraId="69948D02" w14:textId="77777777" w:rsidR="00F52ED5" w:rsidRDefault="001541F8">
            <w:pPr>
              <w:jc w:val="center"/>
            </w:pPr>
            <w:r>
              <w:rPr>
                <w:color w:val="000000"/>
                <w:sz w:val="18"/>
                <w:szCs w:val="18"/>
              </w:rPr>
              <w:t>$68.140 M</w:t>
            </w:r>
          </w:p>
        </w:tc>
        <w:tc>
          <w:tcPr>
            <w:tcW w:w="2000" w:type="dxa"/>
            <w:tcBorders>
              <w:top w:val="single" w:sz="4" w:space="0" w:color="BBBBBB"/>
              <w:left w:val="single" w:sz="4" w:space="0" w:color="BBBBBB"/>
              <w:bottom w:val="single" w:sz="4" w:space="0" w:color="BBBBBB"/>
              <w:right w:val="single" w:sz="4" w:space="0" w:color="BBBBBB"/>
            </w:tcBorders>
            <w:shd w:val="clear" w:color="auto" w:fill="FFFFFF"/>
            <w:tcMar>
              <w:top w:w="80" w:type="dxa"/>
              <w:left w:w="120" w:type="dxa"/>
              <w:bottom w:w="80" w:type="dxa"/>
              <w:right w:w="120" w:type="dxa"/>
            </w:tcMar>
            <w:vAlign w:val="center"/>
          </w:tcPr>
          <w:p w14:paraId="69948D03" w14:textId="77777777" w:rsidR="00F52ED5" w:rsidRDefault="001541F8">
            <w:pPr>
              <w:jc w:val="center"/>
            </w:pPr>
            <w:r>
              <w:rPr>
                <w:b/>
                <w:bCs/>
                <w:color w:val="1E7145"/>
                <w:sz w:val="18"/>
                <w:szCs w:val="18"/>
              </w:rPr>
              <w:t>93,4%</w:t>
            </w:r>
          </w:p>
        </w:tc>
        <w:tc>
          <w:tcPr>
            <w:tcW w:w="1800" w:type="dxa"/>
            <w:tcBorders>
              <w:top w:val="single" w:sz="4" w:space="0" w:color="BBBBBB"/>
              <w:left w:val="single" w:sz="4" w:space="0" w:color="BBBBBB"/>
              <w:bottom w:val="single" w:sz="4" w:space="0" w:color="BBBBBB"/>
              <w:right w:val="single" w:sz="4" w:space="0" w:color="BBBBBB"/>
            </w:tcBorders>
            <w:shd w:val="clear" w:color="auto" w:fill="FFFFFF"/>
            <w:tcMar>
              <w:top w:w="80" w:type="dxa"/>
              <w:left w:w="120" w:type="dxa"/>
              <w:bottom w:w="80" w:type="dxa"/>
              <w:right w:w="120" w:type="dxa"/>
            </w:tcMar>
            <w:vAlign w:val="center"/>
          </w:tcPr>
          <w:p w14:paraId="69948D04" w14:textId="77777777" w:rsidR="00F52ED5" w:rsidRDefault="001541F8">
            <w:r>
              <w:rPr>
                <w:color w:val="000000"/>
                <w:sz w:val="18"/>
                <w:szCs w:val="18"/>
              </w:rPr>
              <w:t>Obras finales en curso</w:t>
            </w:r>
          </w:p>
        </w:tc>
      </w:tr>
      <w:tr w:rsidR="00F52ED5" w14:paraId="69948D0A" w14:textId="77777777">
        <w:tc>
          <w:tcPr>
            <w:tcW w:w="2880" w:type="dxa"/>
            <w:tcBorders>
              <w:top w:val="single" w:sz="4" w:space="0" w:color="BBBBBB"/>
              <w:left w:val="single" w:sz="4" w:space="0" w:color="BBBBBB"/>
              <w:bottom w:val="single" w:sz="4" w:space="0" w:color="BBBBBB"/>
              <w:right w:val="single" w:sz="4" w:space="0" w:color="BBBBBB"/>
            </w:tcBorders>
            <w:shd w:val="clear" w:color="auto" w:fill="F2F2F2"/>
            <w:tcMar>
              <w:top w:w="80" w:type="dxa"/>
              <w:left w:w="120" w:type="dxa"/>
              <w:bottom w:w="80" w:type="dxa"/>
              <w:right w:w="120" w:type="dxa"/>
            </w:tcMar>
            <w:vAlign w:val="center"/>
          </w:tcPr>
          <w:p w14:paraId="69948D06" w14:textId="77777777" w:rsidR="00F52ED5" w:rsidRDefault="001541F8">
            <w:r>
              <w:rPr>
                <w:b/>
                <w:bCs/>
                <w:color w:val="000000"/>
                <w:sz w:val="18"/>
                <w:szCs w:val="18"/>
              </w:rPr>
              <w:t>Acueducto de Fonseca</w:t>
            </w:r>
          </w:p>
        </w:tc>
        <w:tc>
          <w:tcPr>
            <w:tcW w:w="2200" w:type="dxa"/>
            <w:tcBorders>
              <w:top w:val="single" w:sz="4" w:space="0" w:color="BBBBBB"/>
              <w:left w:val="single" w:sz="4" w:space="0" w:color="BBBBBB"/>
              <w:bottom w:val="single" w:sz="4" w:space="0" w:color="BBBBBB"/>
              <w:right w:val="single" w:sz="4" w:space="0" w:color="BBBBBB"/>
            </w:tcBorders>
            <w:shd w:val="clear" w:color="auto" w:fill="F2F2F2"/>
            <w:tcMar>
              <w:top w:w="80" w:type="dxa"/>
              <w:left w:w="120" w:type="dxa"/>
              <w:bottom w:w="80" w:type="dxa"/>
              <w:right w:w="120" w:type="dxa"/>
            </w:tcMar>
            <w:vAlign w:val="center"/>
          </w:tcPr>
          <w:p w14:paraId="69948D07" w14:textId="77777777" w:rsidR="00F52ED5" w:rsidRDefault="001541F8">
            <w:pPr>
              <w:jc w:val="center"/>
            </w:pPr>
            <w:r>
              <w:rPr>
                <w:color w:val="000000"/>
                <w:sz w:val="18"/>
                <w:szCs w:val="18"/>
              </w:rPr>
              <w:t>$80.700 M</w:t>
            </w:r>
          </w:p>
        </w:tc>
        <w:tc>
          <w:tcPr>
            <w:tcW w:w="2000" w:type="dxa"/>
            <w:tcBorders>
              <w:top w:val="single" w:sz="4" w:space="0" w:color="BBBBBB"/>
              <w:left w:val="single" w:sz="4" w:space="0" w:color="BBBBBB"/>
              <w:bottom w:val="single" w:sz="4" w:space="0" w:color="BBBBBB"/>
              <w:right w:val="single" w:sz="4" w:space="0" w:color="BBBBBB"/>
            </w:tcBorders>
            <w:shd w:val="clear" w:color="auto" w:fill="F2F2F2"/>
            <w:tcMar>
              <w:top w:w="80" w:type="dxa"/>
              <w:left w:w="120" w:type="dxa"/>
              <w:bottom w:w="80" w:type="dxa"/>
              <w:right w:w="120" w:type="dxa"/>
            </w:tcMar>
            <w:vAlign w:val="center"/>
          </w:tcPr>
          <w:p w14:paraId="69948D08" w14:textId="77777777" w:rsidR="00F52ED5" w:rsidRDefault="001541F8">
            <w:pPr>
              <w:jc w:val="center"/>
            </w:pPr>
            <w:r>
              <w:rPr>
                <w:b/>
                <w:bCs/>
                <w:color w:val="1E7145"/>
                <w:sz w:val="18"/>
                <w:szCs w:val="18"/>
              </w:rPr>
              <w:t>91,1%</w:t>
            </w:r>
          </w:p>
        </w:tc>
        <w:tc>
          <w:tcPr>
            <w:tcW w:w="1800" w:type="dxa"/>
            <w:tcBorders>
              <w:top w:val="single" w:sz="4" w:space="0" w:color="BBBBBB"/>
              <w:left w:val="single" w:sz="4" w:space="0" w:color="BBBBBB"/>
              <w:bottom w:val="single" w:sz="4" w:space="0" w:color="BBBBBB"/>
              <w:right w:val="single" w:sz="4" w:space="0" w:color="BBBBBB"/>
            </w:tcBorders>
            <w:shd w:val="clear" w:color="auto" w:fill="F2F2F2"/>
            <w:tcMar>
              <w:top w:w="80" w:type="dxa"/>
              <w:left w:w="120" w:type="dxa"/>
              <w:bottom w:w="80" w:type="dxa"/>
              <w:right w:w="120" w:type="dxa"/>
            </w:tcMar>
            <w:vAlign w:val="center"/>
          </w:tcPr>
          <w:p w14:paraId="69948D09" w14:textId="77777777" w:rsidR="00F52ED5" w:rsidRDefault="001541F8">
            <w:r>
              <w:rPr>
                <w:color w:val="000000"/>
                <w:sz w:val="18"/>
                <w:szCs w:val="18"/>
              </w:rPr>
              <w:t>Tanques y medidores pendientes</w:t>
            </w:r>
          </w:p>
        </w:tc>
      </w:tr>
      <w:tr w:rsidR="00F52ED5" w14:paraId="69948D0F" w14:textId="77777777">
        <w:tc>
          <w:tcPr>
            <w:tcW w:w="2880" w:type="dxa"/>
            <w:tcBorders>
              <w:top w:val="single" w:sz="4" w:space="0" w:color="BBBBBB"/>
              <w:left w:val="single" w:sz="4" w:space="0" w:color="BBBBBB"/>
              <w:bottom w:val="single" w:sz="4" w:space="0" w:color="BBBBBB"/>
              <w:right w:val="single" w:sz="4" w:space="0" w:color="BBBBBB"/>
            </w:tcBorders>
            <w:shd w:val="clear" w:color="auto" w:fill="FFFFFF"/>
            <w:tcMar>
              <w:top w:w="80" w:type="dxa"/>
              <w:left w:w="120" w:type="dxa"/>
              <w:bottom w:w="80" w:type="dxa"/>
              <w:right w:w="120" w:type="dxa"/>
            </w:tcMar>
            <w:vAlign w:val="center"/>
          </w:tcPr>
          <w:p w14:paraId="69948D0B" w14:textId="77777777" w:rsidR="00F52ED5" w:rsidRDefault="001541F8">
            <w:r>
              <w:rPr>
                <w:b/>
                <w:bCs/>
                <w:color w:val="000000"/>
                <w:sz w:val="18"/>
                <w:szCs w:val="18"/>
              </w:rPr>
              <w:t>Alcantarillado de Fonseca</w:t>
            </w:r>
          </w:p>
        </w:tc>
        <w:tc>
          <w:tcPr>
            <w:tcW w:w="2200" w:type="dxa"/>
            <w:tcBorders>
              <w:top w:val="single" w:sz="4" w:space="0" w:color="BBBBBB"/>
              <w:left w:val="single" w:sz="4" w:space="0" w:color="BBBBBB"/>
              <w:bottom w:val="single" w:sz="4" w:space="0" w:color="BBBBBB"/>
              <w:right w:val="single" w:sz="4" w:space="0" w:color="BBBBBB"/>
            </w:tcBorders>
            <w:shd w:val="clear" w:color="auto" w:fill="FFFFFF"/>
            <w:tcMar>
              <w:top w:w="80" w:type="dxa"/>
              <w:left w:w="120" w:type="dxa"/>
              <w:bottom w:w="80" w:type="dxa"/>
              <w:right w:w="120" w:type="dxa"/>
            </w:tcMar>
            <w:vAlign w:val="center"/>
          </w:tcPr>
          <w:p w14:paraId="69948D0C" w14:textId="77777777" w:rsidR="00F52ED5" w:rsidRDefault="001541F8">
            <w:pPr>
              <w:jc w:val="center"/>
            </w:pPr>
            <w:r>
              <w:rPr>
                <w:color w:val="000000"/>
                <w:sz w:val="18"/>
                <w:szCs w:val="18"/>
              </w:rPr>
              <w:t>$39.600 M</w:t>
            </w:r>
          </w:p>
        </w:tc>
        <w:tc>
          <w:tcPr>
            <w:tcW w:w="2000" w:type="dxa"/>
            <w:tcBorders>
              <w:top w:val="single" w:sz="4" w:space="0" w:color="BBBBBB"/>
              <w:left w:val="single" w:sz="4" w:space="0" w:color="BBBBBB"/>
              <w:bottom w:val="single" w:sz="4" w:space="0" w:color="BBBBBB"/>
              <w:right w:val="single" w:sz="4" w:space="0" w:color="BBBBBB"/>
            </w:tcBorders>
            <w:shd w:val="clear" w:color="auto" w:fill="FFFFFF"/>
            <w:tcMar>
              <w:top w:w="80" w:type="dxa"/>
              <w:left w:w="120" w:type="dxa"/>
              <w:bottom w:w="80" w:type="dxa"/>
              <w:right w:w="120" w:type="dxa"/>
            </w:tcMar>
            <w:vAlign w:val="center"/>
          </w:tcPr>
          <w:p w14:paraId="69948D0D" w14:textId="77777777" w:rsidR="00F52ED5" w:rsidRDefault="001541F8">
            <w:pPr>
              <w:jc w:val="center"/>
            </w:pPr>
            <w:r>
              <w:rPr>
                <w:b/>
                <w:bCs/>
                <w:color w:val="1E7145"/>
                <w:sz w:val="18"/>
                <w:szCs w:val="18"/>
              </w:rPr>
              <w:t>75,1%</w:t>
            </w:r>
          </w:p>
        </w:tc>
        <w:tc>
          <w:tcPr>
            <w:tcW w:w="1800" w:type="dxa"/>
            <w:tcBorders>
              <w:top w:val="single" w:sz="4" w:space="0" w:color="BBBBBB"/>
              <w:left w:val="single" w:sz="4" w:space="0" w:color="BBBBBB"/>
              <w:bottom w:val="single" w:sz="4" w:space="0" w:color="BBBBBB"/>
              <w:right w:val="single" w:sz="4" w:space="0" w:color="BBBBBB"/>
            </w:tcBorders>
            <w:shd w:val="clear" w:color="auto" w:fill="FFFFFF"/>
            <w:tcMar>
              <w:top w:w="80" w:type="dxa"/>
              <w:left w:w="120" w:type="dxa"/>
              <w:bottom w:w="80" w:type="dxa"/>
              <w:right w:w="120" w:type="dxa"/>
            </w:tcMar>
            <w:vAlign w:val="center"/>
          </w:tcPr>
          <w:p w14:paraId="69948D0E" w14:textId="77777777" w:rsidR="00F52ED5" w:rsidRDefault="001541F8">
            <w:r>
              <w:rPr>
                <w:color w:val="000000"/>
                <w:sz w:val="18"/>
                <w:szCs w:val="18"/>
              </w:rPr>
              <w:t>Permiso INVIAS y EBAR</w:t>
            </w:r>
          </w:p>
        </w:tc>
      </w:tr>
      <w:tr w:rsidR="00F52ED5" w14:paraId="69948D14" w14:textId="77777777">
        <w:tc>
          <w:tcPr>
            <w:tcW w:w="2880" w:type="dxa"/>
            <w:tcBorders>
              <w:top w:val="single" w:sz="4" w:space="0" w:color="BBBBBB"/>
              <w:left w:val="single" w:sz="4" w:space="0" w:color="BBBBBB"/>
              <w:bottom w:val="single" w:sz="4" w:space="0" w:color="BBBBBB"/>
              <w:right w:val="single" w:sz="4" w:space="0" w:color="BBBBBB"/>
            </w:tcBorders>
            <w:shd w:val="clear" w:color="auto" w:fill="F2F2F2"/>
            <w:tcMar>
              <w:top w:w="80" w:type="dxa"/>
              <w:left w:w="120" w:type="dxa"/>
              <w:bottom w:w="80" w:type="dxa"/>
              <w:right w:w="120" w:type="dxa"/>
            </w:tcMar>
            <w:vAlign w:val="center"/>
          </w:tcPr>
          <w:p w14:paraId="69948D10" w14:textId="77777777" w:rsidR="00F52ED5" w:rsidRDefault="001541F8">
            <w:r>
              <w:rPr>
                <w:b/>
                <w:bCs/>
                <w:color w:val="000000"/>
                <w:sz w:val="18"/>
                <w:szCs w:val="18"/>
              </w:rPr>
              <w:t>Acueducto de Urumita</w:t>
            </w:r>
          </w:p>
        </w:tc>
        <w:tc>
          <w:tcPr>
            <w:tcW w:w="2200" w:type="dxa"/>
            <w:tcBorders>
              <w:top w:val="single" w:sz="4" w:space="0" w:color="BBBBBB"/>
              <w:left w:val="single" w:sz="4" w:space="0" w:color="BBBBBB"/>
              <w:bottom w:val="single" w:sz="4" w:space="0" w:color="BBBBBB"/>
              <w:right w:val="single" w:sz="4" w:space="0" w:color="BBBBBB"/>
            </w:tcBorders>
            <w:shd w:val="clear" w:color="auto" w:fill="F2F2F2"/>
            <w:tcMar>
              <w:top w:w="80" w:type="dxa"/>
              <w:left w:w="120" w:type="dxa"/>
              <w:bottom w:w="80" w:type="dxa"/>
              <w:right w:w="120" w:type="dxa"/>
            </w:tcMar>
            <w:vAlign w:val="center"/>
          </w:tcPr>
          <w:p w14:paraId="69948D11" w14:textId="77777777" w:rsidR="00F52ED5" w:rsidRDefault="001541F8">
            <w:pPr>
              <w:jc w:val="center"/>
            </w:pPr>
            <w:r>
              <w:rPr>
                <w:color w:val="000000"/>
                <w:sz w:val="18"/>
                <w:szCs w:val="18"/>
              </w:rPr>
              <w:t>$21.100 M</w:t>
            </w:r>
          </w:p>
        </w:tc>
        <w:tc>
          <w:tcPr>
            <w:tcW w:w="2000" w:type="dxa"/>
            <w:tcBorders>
              <w:top w:val="single" w:sz="4" w:space="0" w:color="BBBBBB"/>
              <w:left w:val="single" w:sz="4" w:space="0" w:color="BBBBBB"/>
              <w:bottom w:val="single" w:sz="4" w:space="0" w:color="BBBBBB"/>
              <w:right w:val="single" w:sz="4" w:space="0" w:color="BBBBBB"/>
            </w:tcBorders>
            <w:shd w:val="clear" w:color="auto" w:fill="F2F2F2"/>
            <w:tcMar>
              <w:top w:w="80" w:type="dxa"/>
              <w:left w:w="120" w:type="dxa"/>
              <w:bottom w:w="80" w:type="dxa"/>
              <w:right w:w="120" w:type="dxa"/>
            </w:tcMar>
            <w:vAlign w:val="center"/>
          </w:tcPr>
          <w:p w14:paraId="69948D12" w14:textId="77777777" w:rsidR="00F52ED5" w:rsidRDefault="001541F8">
            <w:pPr>
              <w:jc w:val="center"/>
            </w:pPr>
            <w:r>
              <w:rPr>
                <w:b/>
                <w:bCs/>
                <w:color w:val="1E7145"/>
                <w:sz w:val="18"/>
                <w:szCs w:val="18"/>
              </w:rPr>
              <w:t>80,4%</w:t>
            </w:r>
          </w:p>
        </w:tc>
        <w:tc>
          <w:tcPr>
            <w:tcW w:w="1800" w:type="dxa"/>
            <w:tcBorders>
              <w:top w:val="single" w:sz="4" w:space="0" w:color="BBBBBB"/>
              <w:left w:val="single" w:sz="4" w:space="0" w:color="BBBBBB"/>
              <w:bottom w:val="single" w:sz="4" w:space="0" w:color="BBBBBB"/>
              <w:right w:val="single" w:sz="4" w:space="0" w:color="BBBBBB"/>
            </w:tcBorders>
            <w:shd w:val="clear" w:color="auto" w:fill="F2F2F2"/>
            <w:tcMar>
              <w:top w:w="80" w:type="dxa"/>
              <w:left w:w="120" w:type="dxa"/>
              <w:bottom w:w="80" w:type="dxa"/>
              <w:right w:w="120" w:type="dxa"/>
            </w:tcMar>
            <w:vAlign w:val="center"/>
          </w:tcPr>
          <w:p w14:paraId="69948D13" w14:textId="77777777" w:rsidR="00F52ED5" w:rsidRDefault="001541F8">
            <w:r>
              <w:rPr>
                <w:color w:val="000000"/>
                <w:sz w:val="18"/>
                <w:szCs w:val="18"/>
              </w:rPr>
              <w:t>Bocatoma, aducción y PTAP</w:t>
            </w:r>
          </w:p>
        </w:tc>
      </w:tr>
    </w:tbl>
    <w:p w14:paraId="69948D16" w14:textId="77777777" w:rsidR="00F52ED5" w:rsidRDefault="001541F8">
      <w:pPr>
        <w:pStyle w:val="Ttulo2"/>
      </w:pPr>
      <w:r>
        <w:t>2.2 Acueducto del municipio de Riohacha</w:t>
      </w:r>
    </w:p>
    <w:p w14:paraId="69948D17" w14:textId="77777777" w:rsidR="00F52ED5" w:rsidRDefault="001541F8">
      <w:pPr>
        <w:pStyle w:val="Ttulo3"/>
      </w:pPr>
      <w:r>
        <w:t>Alcance y beneficiarios</w:t>
      </w:r>
    </w:p>
    <w:p w14:paraId="69948D18" w14:textId="77777777" w:rsidR="00F52ED5" w:rsidRDefault="001541F8">
      <w:pPr>
        <w:spacing w:before="80" w:after="80" w:line="276" w:lineRule="auto"/>
        <w:jc w:val="both"/>
      </w:pPr>
      <w:r>
        <w:rPr>
          <w:color w:val="000000"/>
        </w:rPr>
        <w:t>Proyecto denominado "Diseños de Ingeniería de Detalle y Construcción de las Obras Contempladas en el Plan de Choque (Fase III) del Proyecto de Optimización Hidráulica del Sistema de Distribución (POHSD) para el Acueducto de Riohacha, La Guajira". Beneficia a 212.331 habitantes de la capital del departamento.</w:t>
      </w:r>
    </w:p>
    <w:p w14:paraId="69948D19" w14:textId="77777777" w:rsidR="00F52ED5" w:rsidRDefault="00F52ED5">
      <w:pPr>
        <w:spacing w:after="120"/>
      </w:pPr>
    </w:p>
    <w:p w14:paraId="5CE16708" w14:textId="5C50E284" w:rsidR="000C53E8" w:rsidRPr="000C53E8" w:rsidRDefault="000C53E8" w:rsidP="000C53E8">
      <w:pPr>
        <w:spacing w:before="120" w:after="120"/>
        <w:jc w:val="center"/>
      </w:pPr>
      <w:r w:rsidRPr="000C53E8">
        <w:rPr>
          <w:noProof/>
        </w:rPr>
        <w:lastRenderedPageBreak/>
        <w:drawing>
          <wp:inline distT="0" distB="0" distL="0" distR="0" wp14:anchorId="6F279739" wp14:editId="309545DA">
            <wp:extent cx="4069626" cy="4320000"/>
            <wp:effectExtent l="0" t="0" r="7620" b="4445"/>
            <wp:docPr id="403708445"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069626" cy="4320000"/>
                    </a:xfrm>
                    <a:prstGeom prst="rect">
                      <a:avLst/>
                    </a:prstGeom>
                    <a:noFill/>
                    <a:ln>
                      <a:noFill/>
                    </a:ln>
                  </pic:spPr>
                </pic:pic>
              </a:graphicData>
            </a:graphic>
          </wp:inline>
        </w:drawing>
      </w:r>
    </w:p>
    <w:p w14:paraId="69948D1B" w14:textId="77777777" w:rsidR="00F52ED5" w:rsidRDefault="001541F8">
      <w:pPr>
        <w:spacing w:after="120"/>
        <w:jc w:val="center"/>
      </w:pPr>
      <w:r>
        <w:rPr>
          <w:color w:val="666666"/>
          <w:sz w:val="16"/>
          <w:szCs w:val="16"/>
        </w:rPr>
        <w:t>Figura 2 — Mapa del Proyecto de Optimización del Acueducto de Riohacha (Fase III)</w:t>
      </w:r>
    </w:p>
    <w:p w14:paraId="01E0A449" w14:textId="77777777" w:rsidR="00E97615" w:rsidRDefault="00E97615">
      <w:pPr>
        <w:pStyle w:val="Ttulo3"/>
      </w:pPr>
    </w:p>
    <w:p w14:paraId="69948D1D" w14:textId="5E0BB30B" w:rsidR="00F52ED5" w:rsidRDefault="001541F8">
      <w:pPr>
        <w:pStyle w:val="Ttulo3"/>
      </w:pPr>
      <w:r>
        <w:t>Alcance técnico</w:t>
      </w:r>
    </w:p>
    <w:p w14:paraId="69948D1E" w14:textId="77777777" w:rsidR="00F52ED5" w:rsidRDefault="001541F8">
      <w:pPr>
        <w:pStyle w:val="Prrafodelista"/>
        <w:numPr>
          <w:ilvl w:val="0"/>
          <w:numId w:val="2"/>
        </w:numPr>
        <w:spacing w:before="60" w:after="60"/>
      </w:pPr>
      <w:r>
        <w:t>Etapa 1: Ingeniería de detalle (finalizada), incluyendo diseños para Villa Fátima y otros sectores.</w:t>
      </w:r>
    </w:p>
    <w:p w14:paraId="69948D1F" w14:textId="77777777" w:rsidR="00F52ED5" w:rsidRDefault="001541F8">
      <w:pPr>
        <w:pStyle w:val="Prrafodelista"/>
        <w:numPr>
          <w:ilvl w:val="0"/>
          <w:numId w:val="2"/>
        </w:numPr>
        <w:spacing w:before="60" w:after="60"/>
      </w:pPr>
      <w:r>
        <w:t xml:space="preserve">Etapa 2: Instalación de 53,09 km de redes menores de distribución, 4.722 conexiones domiciliarias y 1.046 unidades de </w:t>
      </w:r>
      <w:proofErr w:type="spellStart"/>
      <w:r>
        <w:t>micromedición</w:t>
      </w:r>
      <w:proofErr w:type="spellEnd"/>
      <w:r>
        <w:t>.</w:t>
      </w:r>
    </w:p>
    <w:p w14:paraId="69948D20" w14:textId="77777777" w:rsidR="00F52ED5" w:rsidRDefault="001541F8">
      <w:pPr>
        <w:pStyle w:val="Prrafodelista"/>
        <w:numPr>
          <w:ilvl w:val="0"/>
          <w:numId w:val="2"/>
        </w:numPr>
        <w:spacing w:before="60" w:after="60"/>
      </w:pPr>
      <w:r>
        <w:t xml:space="preserve">Etapa 3: Instalación de 7,2 km de líneas de refuerzo en sectores hidráulicos 5, 6, 7 y 8; cajas de </w:t>
      </w:r>
      <w:proofErr w:type="spellStart"/>
      <w:r>
        <w:t>macromedidores</w:t>
      </w:r>
      <w:proofErr w:type="spellEnd"/>
      <w:r>
        <w:t>; sectorización hidráulica.</w:t>
      </w:r>
    </w:p>
    <w:p w14:paraId="69948D22" w14:textId="667766BB" w:rsidR="00F52ED5" w:rsidRDefault="001541F8">
      <w:pPr>
        <w:pStyle w:val="Ttulo3"/>
      </w:pPr>
      <w:r>
        <w:t xml:space="preserve">Avances y logros </w:t>
      </w:r>
      <w:r w:rsidR="00A07C9C">
        <w:t>del período del Programa</w:t>
      </w:r>
    </w:p>
    <w:p w14:paraId="69948D23" w14:textId="77777777" w:rsidR="00F52ED5" w:rsidRDefault="001541F8">
      <w:pPr>
        <w:pStyle w:val="Prrafodelista"/>
        <w:numPr>
          <w:ilvl w:val="0"/>
          <w:numId w:val="2"/>
        </w:numPr>
        <w:spacing w:before="60" w:after="60"/>
      </w:pPr>
      <w:r>
        <w:t>Avance físico al 15 de junio de 2026: 93,4% del valor contractual actualizado.</w:t>
      </w:r>
    </w:p>
    <w:p w14:paraId="69948D24" w14:textId="77777777" w:rsidR="00F52ED5" w:rsidRDefault="001541F8">
      <w:pPr>
        <w:pStyle w:val="Prrafodelista"/>
        <w:numPr>
          <w:ilvl w:val="0"/>
          <w:numId w:val="2"/>
        </w:numPr>
        <w:spacing w:before="60" w:after="60"/>
      </w:pPr>
      <w:r>
        <w:t>Instalación del 99,3% de tuberías de refuerzo para los sectores hidráulicos 5, 6, 7 y 8 de la Comuna 10.</w:t>
      </w:r>
    </w:p>
    <w:p w14:paraId="69948D25" w14:textId="77777777" w:rsidR="00F52ED5" w:rsidRDefault="001541F8">
      <w:pPr>
        <w:pStyle w:val="Prrafodelista"/>
        <w:numPr>
          <w:ilvl w:val="0"/>
          <w:numId w:val="2"/>
        </w:numPr>
        <w:spacing w:before="60" w:after="60"/>
      </w:pPr>
      <w:r>
        <w:t>Instalación completa de 53,09 km de redes menores (100%) en los subsectores S4-1, S4-2, S4-3 y S5.</w:t>
      </w:r>
    </w:p>
    <w:p w14:paraId="69948D26" w14:textId="77777777" w:rsidR="00F52ED5" w:rsidRDefault="001541F8">
      <w:pPr>
        <w:pStyle w:val="Prrafodelista"/>
        <w:numPr>
          <w:ilvl w:val="0"/>
          <w:numId w:val="2"/>
        </w:numPr>
        <w:spacing w:before="60" w:after="60"/>
      </w:pPr>
      <w:r>
        <w:t>Realización de 4.722 derivaciones para conexiones domiciliarias (100%) y 277 empalmes con red existente (63%).</w:t>
      </w:r>
    </w:p>
    <w:p w14:paraId="69948D27" w14:textId="77777777" w:rsidR="00F52ED5" w:rsidRDefault="001541F8">
      <w:pPr>
        <w:pStyle w:val="Prrafodelista"/>
        <w:numPr>
          <w:ilvl w:val="0"/>
          <w:numId w:val="2"/>
        </w:numPr>
        <w:spacing w:before="60" w:after="60"/>
      </w:pPr>
      <w:r>
        <w:t>Mejora demostrable en presión y continuidad del servicio en los barrios intervenidos de la Comuna 10.</w:t>
      </w:r>
    </w:p>
    <w:p w14:paraId="69948D28" w14:textId="77777777" w:rsidR="00F52ED5" w:rsidRDefault="001541F8">
      <w:pPr>
        <w:pStyle w:val="Prrafodelista"/>
        <w:numPr>
          <w:ilvl w:val="0"/>
          <w:numId w:val="2"/>
        </w:numPr>
        <w:spacing w:before="60" w:after="60"/>
      </w:pPr>
      <w:r>
        <w:t>Reformulación 1 aprobada en Comité 33 del 3 de octubre de 2025: valor del proyecto pasó de $40.793 M a $56.196 M (adición de ~$15.500 M) para incluir cantidades adicionales Etapas 2 y 3, diseños Villa Fátima y gestión social y ambiental.</w:t>
      </w:r>
    </w:p>
    <w:p w14:paraId="69948D29" w14:textId="77777777" w:rsidR="00F52ED5" w:rsidRDefault="001541F8">
      <w:pPr>
        <w:pStyle w:val="Prrafodelista"/>
        <w:numPr>
          <w:ilvl w:val="0"/>
          <w:numId w:val="2"/>
        </w:numPr>
        <w:spacing w:before="60" w:after="60"/>
      </w:pPr>
      <w:r>
        <w:t>Entrega parcial certificada en diciembre de 2025 de las líneas de refuerzo de los sectores hidráulicos 6, 7 y 8 en la Comuna 10.</w:t>
      </w:r>
    </w:p>
    <w:p w14:paraId="69948D2B" w14:textId="77777777" w:rsidR="00F52ED5" w:rsidRDefault="00F52ED5">
      <w:pPr>
        <w:spacing w:after="120"/>
      </w:pPr>
    </w:p>
    <w:p w14:paraId="69948D2C" w14:textId="77777777" w:rsidR="00F52ED5" w:rsidRDefault="001541F8">
      <w:pPr>
        <w:spacing w:before="120" w:after="120"/>
        <w:jc w:val="center"/>
      </w:pPr>
      <w:r>
        <w:rPr>
          <w:noProof/>
        </w:rPr>
        <w:drawing>
          <wp:inline distT="0" distB="0" distL="0" distR="0" wp14:anchorId="69948EBF" wp14:editId="69948EC0">
            <wp:extent cx="4762500" cy="2343150"/>
            <wp:effectExtent l="0" t="0" r="0" b="0"/>
            <wp:docPr id="713852584" name="Imagen 713852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1"/>
                    <a:srcRect/>
                    <a:stretch>
                      <a:fillRect/>
                    </a:stretch>
                  </pic:blipFill>
                  <pic:spPr bwMode="auto">
                    <a:xfrm>
                      <a:off x="0" y="0"/>
                      <a:ext cx="4762500" cy="2343150"/>
                    </a:xfrm>
                    <a:prstGeom prst="rect">
                      <a:avLst/>
                    </a:prstGeom>
                  </pic:spPr>
                </pic:pic>
              </a:graphicData>
            </a:graphic>
          </wp:inline>
        </w:drawing>
      </w:r>
    </w:p>
    <w:p w14:paraId="69948D2D" w14:textId="77777777" w:rsidR="00F52ED5" w:rsidRDefault="001541F8">
      <w:pPr>
        <w:spacing w:after="80"/>
        <w:jc w:val="center"/>
      </w:pPr>
      <w:r>
        <w:rPr>
          <w:color w:val="666666"/>
          <w:sz w:val="16"/>
          <w:szCs w:val="16"/>
        </w:rPr>
        <w:t>Figura 3 — Pagos anuales al contratista de obra del Acueducto de Riohacha por fuente de financiación (COP)</w:t>
      </w:r>
    </w:p>
    <w:p w14:paraId="69948D2E" w14:textId="77777777" w:rsidR="00F52ED5" w:rsidRDefault="001541F8" w:rsidP="00E97615">
      <w:pPr>
        <w:spacing w:before="240" w:after="80" w:line="276" w:lineRule="auto"/>
        <w:jc w:val="both"/>
      </w:pPr>
      <w:r>
        <w:rPr>
          <w:color w:val="000000"/>
        </w:rPr>
        <w:t>Los pagos reflejan la contribución de las tres fuentes: el Préstamo BID 5193 financia la mayor parte de la ejecución (2023 y 2024), mientras que en 2025 se incorporan la Donación BID 5189 ($5.402,5 M) y la Donación COSUDE ($4.061,4 M), elevando el pago de ese año a $22.857,6 M. El total ejecutado de todas las fuentes asciende a $45.642,3 M.</w:t>
      </w:r>
    </w:p>
    <w:p w14:paraId="69948D30" w14:textId="77777777" w:rsidR="00F52ED5" w:rsidRDefault="001541F8">
      <w:pPr>
        <w:pStyle w:val="Ttulo3"/>
      </w:pPr>
      <w:r>
        <w:t>Dificultades y retos</w:t>
      </w:r>
    </w:p>
    <w:p w14:paraId="69948D31" w14:textId="77777777" w:rsidR="00F52ED5" w:rsidRDefault="001541F8">
      <w:pPr>
        <w:pStyle w:val="Prrafodelista"/>
        <w:numPr>
          <w:ilvl w:val="0"/>
          <w:numId w:val="2"/>
        </w:numPr>
        <w:spacing w:before="60" w:after="60"/>
      </w:pPr>
      <w:r>
        <w:t>Para completar el alcance de la Etapa 2 en el barrio Villa Fátima se requieren recursos adicionales aún en gestión.</w:t>
      </w:r>
    </w:p>
    <w:p w14:paraId="69948D32" w14:textId="77777777" w:rsidR="00F52ED5" w:rsidRDefault="001541F8">
      <w:pPr>
        <w:pStyle w:val="Prrafodelista"/>
        <w:numPr>
          <w:ilvl w:val="0"/>
          <w:numId w:val="2"/>
        </w:numPr>
        <w:spacing w:before="60" w:after="60"/>
      </w:pPr>
      <w:r>
        <w:t>Los empates de redes instaladas con la red existente han presentado interferencias no previstas en planos, generando sobrecostos de tiempo.</w:t>
      </w:r>
    </w:p>
    <w:p w14:paraId="69948D33" w14:textId="77777777" w:rsidR="00F52ED5" w:rsidRDefault="001541F8">
      <w:pPr>
        <w:pStyle w:val="Prrafodelista"/>
        <w:numPr>
          <w:ilvl w:val="0"/>
          <w:numId w:val="2"/>
        </w:numPr>
        <w:spacing w:before="60" w:after="60"/>
      </w:pPr>
      <w:r>
        <w:t xml:space="preserve">Alcance de la </w:t>
      </w:r>
      <w:proofErr w:type="spellStart"/>
      <w:r>
        <w:t>micromedición</w:t>
      </w:r>
      <w:proofErr w:type="spellEnd"/>
      <w:r>
        <w:t xml:space="preserve"> (22% avance) requiere continuidad de la ejecución en la siguiente administración.</w:t>
      </w:r>
    </w:p>
    <w:p w14:paraId="69948D35" w14:textId="77777777" w:rsidR="00F52ED5" w:rsidRDefault="001541F8">
      <w:pPr>
        <w:pStyle w:val="Ttulo2"/>
      </w:pPr>
      <w:r>
        <w:t>2.3 Acueducto del municipio de Fonseca</w:t>
      </w:r>
    </w:p>
    <w:p w14:paraId="69948D36" w14:textId="77777777" w:rsidR="00F52ED5" w:rsidRDefault="001541F8">
      <w:pPr>
        <w:pStyle w:val="Ttulo3"/>
      </w:pPr>
      <w:r>
        <w:t>Alcance y beneficiarios</w:t>
      </w:r>
    </w:p>
    <w:p w14:paraId="69948D37" w14:textId="77777777" w:rsidR="00F52ED5" w:rsidRDefault="001541F8">
      <w:pPr>
        <w:spacing w:before="80" w:after="80" w:line="276" w:lineRule="auto"/>
        <w:jc w:val="both"/>
      </w:pPr>
      <w:r>
        <w:rPr>
          <w:color w:val="000000"/>
        </w:rPr>
        <w:t>Proyecto "Optimización del Sistema de Acueducto del Municipio de Fonseca — Departamento de La Guajira". Beneficia a 43.298 habitantes actuales y 63.182 proyectados al horizonte del Programa, incluyendo 1.595 hogares migrantes venezolanos.</w:t>
      </w:r>
    </w:p>
    <w:p w14:paraId="69948D38" w14:textId="77777777" w:rsidR="00F52ED5" w:rsidRDefault="00F52ED5">
      <w:pPr>
        <w:spacing w:after="120"/>
      </w:pPr>
    </w:p>
    <w:p w14:paraId="69948D39" w14:textId="59F94466" w:rsidR="00F52ED5" w:rsidRDefault="00EB0336">
      <w:pPr>
        <w:spacing w:before="120" w:after="120"/>
        <w:jc w:val="center"/>
      </w:pPr>
      <w:r w:rsidRPr="00EB0336">
        <w:rPr>
          <w:noProof/>
        </w:rPr>
        <w:lastRenderedPageBreak/>
        <w:drawing>
          <wp:inline distT="0" distB="0" distL="0" distR="0" wp14:anchorId="4AC1D8EB" wp14:editId="36F167C4">
            <wp:extent cx="6172200" cy="3683635"/>
            <wp:effectExtent l="0" t="0" r="0" b="0"/>
            <wp:docPr id="52337582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3375829" name=""/>
                    <pic:cNvPicPr/>
                  </pic:nvPicPr>
                  <pic:blipFill>
                    <a:blip r:embed="rId12"/>
                    <a:stretch>
                      <a:fillRect/>
                    </a:stretch>
                  </pic:blipFill>
                  <pic:spPr>
                    <a:xfrm>
                      <a:off x="0" y="0"/>
                      <a:ext cx="6172200" cy="3683635"/>
                    </a:xfrm>
                    <a:prstGeom prst="rect">
                      <a:avLst/>
                    </a:prstGeom>
                  </pic:spPr>
                </pic:pic>
              </a:graphicData>
            </a:graphic>
          </wp:inline>
        </w:drawing>
      </w:r>
    </w:p>
    <w:p w14:paraId="69948D3A" w14:textId="77777777" w:rsidR="00F52ED5" w:rsidRDefault="001541F8">
      <w:pPr>
        <w:spacing w:after="120"/>
        <w:jc w:val="center"/>
      </w:pPr>
      <w:r>
        <w:rPr>
          <w:color w:val="666666"/>
          <w:sz w:val="16"/>
          <w:szCs w:val="16"/>
        </w:rPr>
        <w:t>Figura 4 — Esquema general del Proyecto de Acueducto de Fonseca</w:t>
      </w:r>
    </w:p>
    <w:p w14:paraId="69948D3C" w14:textId="77777777" w:rsidR="00F52ED5" w:rsidRDefault="001541F8" w:rsidP="00E97615">
      <w:pPr>
        <w:pStyle w:val="Ttulo3"/>
        <w:spacing w:before="240"/>
      </w:pPr>
      <w:r>
        <w:t>Alcance técnico</w:t>
      </w:r>
    </w:p>
    <w:p w14:paraId="69948D3D" w14:textId="77777777" w:rsidR="00F52ED5" w:rsidRDefault="001541F8">
      <w:pPr>
        <w:pStyle w:val="Prrafodelista"/>
        <w:numPr>
          <w:ilvl w:val="0"/>
          <w:numId w:val="2"/>
        </w:numPr>
        <w:spacing w:before="60" w:after="60"/>
      </w:pPr>
      <w:r>
        <w:t xml:space="preserve">Construcción de nueva línea de conducción de 14 km entre la PTAP de </w:t>
      </w:r>
      <w:proofErr w:type="spellStart"/>
      <w:r>
        <w:t>Metesusto</w:t>
      </w:r>
      <w:proofErr w:type="spellEnd"/>
      <w:r>
        <w:t xml:space="preserve"> y el casco urbano.</w:t>
      </w:r>
    </w:p>
    <w:p w14:paraId="69948D3E" w14:textId="77777777" w:rsidR="00F52ED5" w:rsidRDefault="001541F8">
      <w:pPr>
        <w:pStyle w:val="Prrafodelista"/>
        <w:numPr>
          <w:ilvl w:val="0"/>
          <w:numId w:val="2"/>
        </w:numPr>
        <w:spacing w:before="60" w:after="60"/>
      </w:pPr>
      <w:r>
        <w:t>Rehabilitación y refuerzo de los tanques elevados de almacenamiento.</w:t>
      </w:r>
    </w:p>
    <w:p w14:paraId="69948D3F" w14:textId="77777777" w:rsidR="00F52ED5" w:rsidRDefault="001541F8">
      <w:pPr>
        <w:pStyle w:val="Prrafodelista"/>
        <w:numPr>
          <w:ilvl w:val="0"/>
          <w:numId w:val="2"/>
        </w:numPr>
        <w:spacing w:before="60" w:after="60"/>
      </w:pPr>
      <w:r>
        <w:t>Renovación de 35,62 km de redes de distribución, sectorización hidráulica y 2.123 acometidas domiciliarias.</w:t>
      </w:r>
    </w:p>
    <w:p w14:paraId="69948D40" w14:textId="77777777" w:rsidR="00F52ED5" w:rsidRDefault="001541F8">
      <w:pPr>
        <w:pStyle w:val="Prrafodelista"/>
        <w:numPr>
          <w:ilvl w:val="0"/>
          <w:numId w:val="2"/>
        </w:numPr>
        <w:spacing w:before="60" w:after="60"/>
      </w:pPr>
      <w:r>
        <w:t>Meta de resultado: continuidad del servicio de 24 horas/día, 7 días/semana; reducción de pérdidas al 41,62%.</w:t>
      </w:r>
    </w:p>
    <w:p w14:paraId="69948D42" w14:textId="660199D5" w:rsidR="00F52ED5" w:rsidRDefault="001541F8">
      <w:pPr>
        <w:pStyle w:val="Ttulo3"/>
      </w:pPr>
      <w:r>
        <w:t xml:space="preserve">Avances y logros </w:t>
      </w:r>
      <w:r w:rsidR="00A07C9C">
        <w:t>del período del Programa</w:t>
      </w:r>
    </w:p>
    <w:p w14:paraId="69948D43" w14:textId="4662D093" w:rsidR="00F52ED5" w:rsidRDefault="001541F8">
      <w:pPr>
        <w:pStyle w:val="Prrafodelista"/>
        <w:numPr>
          <w:ilvl w:val="0"/>
          <w:numId w:val="2"/>
        </w:numPr>
        <w:spacing w:before="60" w:after="60"/>
      </w:pPr>
      <w:r>
        <w:t xml:space="preserve">Avance físico al </w:t>
      </w:r>
      <w:r w:rsidR="00EA6A7C">
        <w:t>30</w:t>
      </w:r>
      <w:r>
        <w:t xml:space="preserve"> de junio de 2026: 91,1% del valor contractual actualizado.</w:t>
      </w:r>
    </w:p>
    <w:p w14:paraId="69948D44" w14:textId="77777777" w:rsidR="00F52ED5" w:rsidRDefault="001541F8">
      <w:pPr>
        <w:pStyle w:val="Prrafodelista"/>
        <w:numPr>
          <w:ilvl w:val="0"/>
          <w:numId w:val="2"/>
        </w:numPr>
        <w:spacing w:before="60" w:after="60"/>
      </w:pPr>
      <w:r>
        <w:t>Instalación del 99% de la tubería de la línea de conducción (14,08 km) y 72 cajas para válvulas.</w:t>
      </w:r>
    </w:p>
    <w:p w14:paraId="69948D45" w14:textId="77777777" w:rsidR="00F52ED5" w:rsidRDefault="001541F8">
      <w:pPr>
        <w:pStyle w:val="Prrafodelista"/>
        <w:numPr>
          <w:ilvl w:val="0"/>
          <w:numId w:val="2"/>
        </w:numPr>
        <w:spacing w:before="60" w:after="60"/>
      </w:pPr>
      <w:r>
        <w:t>Instalación del 100% de la tubería de redes de distribución (35,62 km), 41 hidrantes y 79% de acometidas domiciliarias.</w:t>
      </w:r>
    </w:p>
    <w:p w14:paraId="69948D46" w14:textId="77777777" w:rsidR="00F52ED5" w:rsidRDefault="001541F8">
      <w:pPr>
        <w:pStyle w:val="Prrafodelista"/>
        <w:numPr>
          <w:ilvl w:val="0"/>
          <w:numId w:val="2"/>
        </w:numPr>
        <w:spacing w:before="60" w:after="60"/>
      </w:pPr>
      <w:r>
        <w:t>Construcción del 100% de los 186 pilotes de refuerzo de tanques elevados y sus vigas de amarre.</w:t>
      </w:r>
    </w:p>
    <w:p w14:paraId="69948D47" w14:textId="77777777" w:rsidR="00F52ED5" w:rsidRDefault="001541F8">
      <w:pPr>
        <w:pStyle w:val="Prrafodelista"/>
        <w:numPr>
          <w:ilvl w:val="0"/>
          <w:numId w:val="2"/>
        </w:numPr>
        <w:spacing w:before="60" w:after="60"/>
      </w:pPr>
      <w:r>
        <w:t xml:space="preserve">Reformulación 2 aprobada en Comité 35 del 17 de octubre de 2025: valor pasó de $55.599 M a $81.647 M para cubrir condiciones no previstas (desagües del tanque </w:t>
      </w:r>
      <w:proofErr w:type="spellStart"/>
      <w:r>
        <w:t>Metesusto</w:t>
      </w:r>
      <w:proofErr w:type="spellEnd"/>
      <w:r>
        <w:t>, trazado de la conducción, rehabilitación de tanques) y priorizar obras funcionales.</w:t>
      </w:r>
    </w:p>
    <w:p w14:paraId="69948D48" w14:textId="77777777" w:rsidR="00F52ED5" w:rsidRDefault="001541F8">
      <w:pPr>
        <w:pStyle w:val="Prrafodelista"/>
        <w:numPr>
          <w:ilvl w:val="0"/>
          <w:numId w:val="2"/>
        </w:numPr>
        <w:spacing w:before="60" w:after="60"/>
      </w:pPr>
      <w:r>
        <w:t>Entrega parcial certificada en diciembre de 2025 de redes de distribución en 12 sectores del casco urbano de Fonseca.</w:t>
      </w:r>
    </w:p>
    <w:p w14:paraId="69948D49" w14:textId="77777777" w:rsidR="00F52ED5" w:rsidRDefault="001541F8">
      <w:pPr>
        <w:pStyle w:val="Prrafodelista"/>
        <w:numPr>
          <w:ilvl w:val="0"/>
          <w:numId w:val="2"/>
        </w:numPr>
        <w:spacing w:before="60" w:after="60"/>
      </w:pPr>
      <w:r>
        <w:t>La suspensión de obras entre febrero y abril de 2025 por amenazas de grupos armados fue gestionada de manera coordinada con el contratista y las autoridades locales.</w:t>
      </w:r>
    </w:p>
    <w:p w14:paraId="69948D4A" w14:textId="77777777" w:rsidR="00F52ED5" w:rsidRDefault="00F52ED5">
      <w:pPr>
        <w:spacing w:after="120"/>
      </w:pPr>
    </w:p>
    <w:p w14:paraId="69948D4B" w14:textId="77777777" w:rsidR="00F52ED5" w:rsidRDefault="001541F8">
      <w:pPr>
        <w:spacing w:before="120" w:after="120"/>
        <w:jc w:val="center"/>
      </w:pPr>
      <w:r>
        <w:rPr>
          <w:noProof/>
        </w:rPr>
        <w:lastRenderedPageBreak/>
        <w:drawing>
          <wp:inline distT="0" distB="0" distL="0" distR="0" wp14:anchorId="69948EC3" wp14:editId="69948EC4">
            <wp:extent cx="4762500" cy="2343150"/>
            <wp:effectExtent l="0" t="0" r="0" b="0"/>
            <wp:docPr id="617588430" name="Imagen 617588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3"/>
                    <a:srcRect/>
                    <a:stretch>
                      <a:fillRect/>
                    </a:stretch>
                  </pic:blipFill>
                  <pic:spPr bwMode="auto">
                    <a:xfrm>
                      <a:off x="0" y="0"/>
                      <a:ext cx="4762500" cy="2343150"/>
                    </a:xfrm>
                    <a:prstGeom prst="rect">
                      <a:avLst/>
                    </a:prstGeom>
                  </pic:spPr>
                </pic:pic>
              </a:graphicData>
            </a:graphic>
          </wp:inline>
        </w:drawing>
      </w:r>
    </w:p>
    <w:p w14:paraId="69948D4C" w14:textId="77777777" w:rsidR="00F52ED5" w:rsidRDefault="001541F8">
      <w:pPr>
        <w:spacing w:after="80"/>
        <w:jc w:val="center"/>
      </w:pPr>
      <w:r>
        <w:rPr>
          <w:color w:val="666666"/>
          <w:sz w:val="16"/>
          <w:szCs w:val="16"/>
        </w:rPr>
        <w:t>Figura 5 — Pagos anuales al contratista de obra del Acueducto de Fonseca por fuente de financiación (COP)</w:t>
      </w:r>
    </w:p>
    <w:p w14:paraId="69948D4D" w14:textId="77777777" w:rsidR="00F52ED5" w:rsidRDefault="001541F8">
      <w:pPr>
        <w:spacing w:before="80" w:after="80" w:line="276" w:lineRule="auto"/>
        <w:jc w:val="both"/>
      </w:pPr>
      <w:r>
        <w:rPr>
          <w:color w:val="000000"/>
        </w:rPr>
        <w:t>El mayor volumen de pagos se concentró en 2023 ($24.702,3 M, solo Préstamo BID 5193). En 2024 se incorpora la Donación COSUDE ($5.298,9 M), elevando el total del año a $17.592,8 M. En 2025 se suman la Donación BID 5189 ($7.014,7 M) y más recursos COSUDE ($3.981,4 M), con un total de $18.480,5 M pese a la suspensión por orden público en el primer semestre. Total ejecutado de todas las fuentes: $63.346,7 M.</w:t>
      </w:r>
    </w:p>
    <w:p w14:paraId="69948D4F" w14:textId="77777777" w:rsidR="00F52ED5" w:rsidRDefault="001541F8">
      <w:pPr>
        <w:pStyle w:val="Ttulo3"/>
      </w:pPr>
      <w:r>
        <w:t>Dificultades y retos</w:t>
      </w:r>
    </w:p>
    <w:p w14:paraId="69948D50" w14:textId="77777777" w:rsidR="00F52ED5" w:rsidRDefault="001541F8">
      <w:pPr>
        <w:pStyle w:val="Prrafodelista"/>
        <w:numPr>
          <w:ilvl w:val="0"/>
          <w:numId w:val="2"/>
        </w:numPr>
        <w:spacing w:before="60" w:after="60"/>
      </w:pPr>
      <w:r>
        <w:t>Para la terminación total del alcance contractual de todos los componentes (tanques, medidores) se requieren recursos adicionales aún en gestión.</w:t>
      </w:r>
    </w:p>
    <w:p w14:paraId="69948D51" w14:textId="77777777" w:rsidR="00F52ED5" w:rsidRDefault="001541F8">
      <w:pPr>
        <w:pStyle w:val="Prrafodelista"/>
        <w:numPr>
          <w:ilvl w:val="0"/>
          <w:numId w:val="2"/>
        </w:numPr>
        <w:spacing w:before="60" w:after="60"/>
      </w:pPr>
      <w:r>
        <w:t>Demoras en la concertación de compensaciones en tres predios de servidumbre de la línea de conducción.</w:t>
      </w:r>
    </w:p>
    <w:p w14:paraId="69948D52" w14:textId="77777777" w:rsidR="00F52ED5" w:rsidRDefault="001541F8">
      <w:pPr>
        <w:pStyle w:val="Prrafodelista"/>
        <w:numPr>
          <w:ilvl w:val="0"/>
          <w:numId w:val="2"/>
        </w:numPr>
        <w:spacing w:before="60" w:after="60"/>
      </w:pPr>
      <w:r>
        <w:t>Fecha programada de finalización de obras: mayo de 2026.</w:t>
      </w:r>
    </w:p>
    <w:p w14:paraId="69948D54" w14:textId="77777777" w:rsidR="00F52ED5" w:rsidRDefault="001541F8" w:rsidP="00E97615">
      <w:pPr>
        <w:pStyle w:val="Ttulo2"/>
        <w:spacing w:before="360"/>
      </w:pPr>
      <w:r>
        <w:t>2.4 Alcantarillado del municipio de Fonseca</w:t>
      </w:r>
    </w:p>
    <w:p w14:paraId="69948D55" w14:textId="77777777" w:rsidR="00F52ED5" w:rsidRDefault="001541F8">
      <w:pPr>
        <w:pStyle w:val="Ttulo3"/>
      </w:pPr>
      <w:r>
        <w:t>Alcance y beneficiarios</w:t>
      </w:r>
    </w:p>
    <w:p w14:paraId="69948D56" w14:textId="77777777" w:rsidR="00F52ED5" w:rsidRDefault="001541F8">
      <w:pPr>
        <w:spacing w:before="80" w:after="80" w:line="276" w:lineRule="auto"/>
        <w:jc w:val="both"/>
      </w:pPr>
      <w:r>
        <w:rPr>
          <w:color w:val="000000"/>
        </w:rPr>
        <w:t>Proyecto "Alcantarillado Sanitario y Pluvial de los Barrios El Carmen y El Cerrejón del Municipio de Fonseca, Departamento de La Guajira". Beneficia directamente a 3.375 habitantes de los dos barrios intervenidos (982 viviendas de estratos 1 y 2).</w:t>
      </w:r>
    </w:p>
    <w:p w14:paraId="69948D57" w14:textId="77777777" w:rsidR="00F52ED5" w:rsidRDefault="00F52ED5">
      <w:pPr>
        <w:spacing w:after="120"/>
      </w:pPr>
    </w:p>
    <w:p w14:paraId="69948D58" w14:textId="5A81A4C1" w:rsidR="00F52ED5" w:rsidRDefault="00514E54">
      <w:pPr>
        <w:spacing w:before="120" w:after="120"/>
        <w:jc w:val="center"/>
      </w:pPr>
      <w:r w:rsidRPr="00514E54">
        <w:rPr>
          <w:noProof/>
        </w:rPr>
        <w:lastRenderedPageBreak/>
        <w:drawing>
          <wp:inline distT="0" distB="0" distL="0" distR="0" wp14:anchorId="3A9A7527" wp14:editId="141E2C95">
            <wp:extent cx="5640563" cy="3960000"/>
            <wp:effectExtent l="0" t="0" r="0" b="2540"/>
            <wp:docPr id="48773955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739557" name=""/>
                    <pic:cNvPicPr/>
                  </pic:nvPicPr>
                  <pic:blipFill>
                    <a:blip r:embed="rId14"/>
                    <a:stretch>
                      <a:fillRect/>
                    </a:stretch>
                  </pic:blipFill>
                  <pic:spPr>
                    <a:xfrm>
                      <a:off x="0" y="0"/>
                      <a:ext cx="5640563" cy="3960000"/>
                    </a:xfrm>
                    <a:prstGeom prst="rect">
                      <a:avLst/>
                    </a:prstGeom>
                  </pic:spPr>
                </pic:pic>
              </a:graphicData>
            </a:graphic>
          </wp:inline>
        </w:drawing>
      </w:r>
    </w:p>
    <w:p w14:paraId="47960D82" w14:textId="382C0D98" w:rsidR="00514E54" w:rsidRDefault="00C3230C">
      <w:pPr>
        <w:spacing w:before="120" w:after="120"/>
        <w:jc w:val="center"/>
      </w:pPr>
      <w:r w:rsidRPr="00C3230C">
        <w:rPr>
          <w:noProof/>
        </w:rPr>
        <w:drawing>
          <wp:inline distT="0" distB="0" distL="0" distR="0" wp14:anchorId="0D12550A" wp14:editId="46B9B0E8">
            <wp:extent cx="4473210" cy="3960000"/>
            <wp:effectExtent l="0" t="0" r="3810" b="2540"/>
            <wp:docPr id="205887454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8874549" name=""/>
                    <pic:cNvPicPr/>
                  </pic:nvPicPr>
                  <pic:blipFill>
                    <a:blip r:embed="rId15"/>
                    <a:stretch>
                      <a:fillRect/>
                    </a:stretch>
                  </pic:blipFill>
                  <pic:spPr>
                    <a:xfrm>
                      <a:off x="0" y="0"/>
                      <a:ext cx="4473210" cy="3960000"/>
                    </a:xfrm>
                    <a:prstGeom prst="rect">
                      <a:avLst/>
                    </a:prstGeom>
                  </pic:spPr>
                </pic:pic>
              </a:graphicData>
            </a:graphic>
          </wp:inline>
        </w:drawing>
      </w:r>
    </w:p>
    <w:p w14:paraId="69948D59" w14:textId="3EABA10B" w:rsidR="00F52ED5" w:rsidRDefault="001541F8">
      <w:pPr>
        <w:spacing w:after="120"/>
        <w:jc w:val="center"/>
      </w:pPr>
      <w:r>
        <w:rPr>
          <w:color w:val="666666"/>
          <w:sz w:val="16"/>
          <w:szCs w:val="16"/>
        </w:rPr>
        <w:t>Figura 6 — Redes de alcantarillado sanitario</w:t>
      </w:r>
      <w:r w:rsidR="00C3230C">
        <w:rPr>
          <w:color w:val="666666"/>
          <w:sz w:val="16"/>
          <w:szCs w:val="16"/>
        </w:rPr>
        <w:t xml:space="preserve"> (arriba)</w:t>
      </w:r>
      <w:r>
        <w:rPr>
          <w:color w:val="666666"/>
          <w:sz w:val="16"/>
          <w:szCs w:val="16"/>
        </w:rPr>
        <w:t xml:space="preserve"> y pluvial </w:t>
      </w:r>
      <w:r w:rsidR="00C3230C">
        <w:rPr>
          <w:color w:val="666666"/>
          <w:sz w:val="16"/>
          <w:szCs w:val="16"/>
        </w:rPr>
        <w:t xml:space="preserve">(abajo) </w:t>
      </w:r>
      <w:r>
        <w:rPr>
          <w:color w:val="666666"/>
          <w:sz w:val="16"/>
          <w:szCs w:val="16"/>
        </w:rPr>
        <w:t>del Proyecto de Fonseca (barrios El Carmen y El Cerrejón)</w:t>
      </w:r>
    </w:p>
    <w:p w14:paraId="69948D5B" w14:textId="77777777" w:rsidR="00F52ED5" w:rsidRDefault="001541F8">
      <w:pPr>
        <w:pStyle w:val="Ttulo3"/>
      </w:pPr>
      <w:r>
        <w:lastRenderedPageBreak/>
        <w:t>Alcance técnico</w:t>
      </w:r>
    </w:p>
    <w:p w14:paraId="69948D5C" w14:textId="77777777" w:rsidR="00F52ED5" w:rsidRDefault="001541F8">
      <w:pPr>
        <w:pStyle w:val="Prrafodelista"/>
        <w:numPr>
          <w:ilvl w:val="0"/>
          <w:numId w:val="2"/>
        </w:numPr>
        <w:spacing w:before="60" w:after="60"/>
      </w:pPr>
      <w:r>
        <w:t>Red de alcantarillado sanitario: colectores, pozos de inspección, estación de bombeo de aguas residuales (EBAR) y conexiones domiciliarias.</w:t>
      </w:r>
    </w:p>
    <w:p w14:paraId="69948D5D" w14:textId="77777777" w:rsidR="00F52ED5" w:rsidRDefault="001541F8">
      <w:pPr>
        <w:pStyle w:val="Prrafodelista"/>
        <w:numPr>
          <w:ilvl w:val="0"/>
          <w:numId w:val="2"/>
        </w:numPr>
        <w:spacing w:before="60" w:after="60"/>
      </w:pPr>
      <w:r>
        <w:t>Red de alcantarillado pluvial: tuberías de gran diámetro, cámaras de inspección, sumideros, adecuación de la acequia Penzo y cabezal de descarga al río Ranchería.</w:t>
      </w:r>
    </w:p>
    <w:p w14:paraId="69948D5E" w14:textId="77777777" w:rsidR="00F52ED5" w:rsidRDefault="001541F8">
      <w:pPr>
        <w:pStyle w:val="Prrafodelista"/>
        <w:numPr>
          <w:ilvl w:val="0"/>
          <w:numId w:val="2"/>
        </w:numPr>
        <w:spacing w:before="60" w:after="60"/>
      </w:pPr>
      <w:r>
        <w:t>Solución pluvial adicional para la Calle 14 del barrio El Carmen (incorporada en la reformulación 1).</w:t>
      </w:r>
    </w:p>
    <w:p w14:paraId="69948D60" w14:textId="076FC5BD" w:rsidR="00F52ED5" w:rsidRDefault="001541F8">
      <w:pPr>
        <w:pStyle w:val="Ttulo3"/>
      </w:pPr>
      <w:r>
        <w:t xml:space="preserve">Avances y logros </w:t>
      </w:r>
      <w:r w:rsidR="00A07C9C">
        <w:t>del período del Programa</w:t>
      </w:r>
    </w:p>
    <w:p w14:paraId="69948D61" w14:textId="2A5159A9" w:rsidR="00F52ED5" w:rsidRDefault="001541F8">
      <w:pPr>
        <w:pStyle w:val="Prrafodelista"/>
        <w:numPr>
          <w:ilvl w:val="0"/>
          <w:numId w:val="2"/>
        </w:numPr>
        <w:spacing w:before="60" w:after="60"/>
      </w:pPr>
      <w:r>
        <w:t xml:space="preserve">Avance físico al </w:t>
      </w:r>
      <w:r w:rsidR="00EA6A7C">
        <w:t>30</w:t>
      </w:r>
      <w:r>
        <w:t xml:space="preserve"> de junio de 2026: 75,1% del valor contractual actualizado.</w:t>
      </w:r>
    </w:p>
    <w:p w14:paraId="69948D62" w14:textId="77777777" w:rsidR="00F52ED5" w:rsidRDefault="001541F8">
      <w:pPr>
        <w:pStyle w:val="Prrafodelista"/>
        <w:numPr>
          <w:ilvl w:val="0"/>
          <w:numId w:val="2"/>
        </w:numPr>
        <w:spacing w:before="60" w:after="60"/>
      </w:pPr>
      <w:r>
        <w:t>Instalación de 2,24 km de tuberías de la red de alcantarillado pluvial (91,6%) y 7,97 km de la red sanitaria (93%).</w:t>
      </w:r>
    </w:p>
    <w:p w14:paraId="69948D63" w14:textId="77777777" w:rsidR="00F52ED5" w:rsidRDefault="001541F8">
      <w:pPr>
        <w:pStyle w:val="Prrafodelista"/>
        <w:numPr>
          <w:ilvl w:val="0"/>
          <w:numId w:val="2"/>
        </w:numPr>
        <w:spacing w:before="60" w:after="60"/>
      </w:pPr>
      <w:r>
        <w:t>Instalación de 798 acometidas domiciliarias completas (96%) y 781 cajas domiciliarias (94%); más del 60% de estas ya conectadas y en funcionamiento, beneficiando directamente a más de 3.800 habitantes del barrio El Carmen.</w:t>
      </w:r>
    </w:p>
    <w:p w14:paraId="69948D64" w14:textId="77777777" w:rsidR="00F52ED5" w:rsidRDefault="001541F8">
      <w:pPr>
        <w:pStyle w:val="Prrafodelista"/>
        <w:numPr>
          <w:ilvl w:val="0"/>
          <w:numId w:val="2"/>
        </w:numPr>
        <w:spacing w:before="60" w:after="60"/>
      </w:pPr>
      <w:r>
        <w:t>Construcción de 92 pozos de inspección sanitarios (78%) y avance del 75% en la EBAR.</w:t>
      </w:r>
    </w:p>
    <w:p w14:paraId="69948D65" w14:textId="77777777" w:rsidR="00F52ED5" w:rsidRDefault="001541F8">
      <w:pPr>
        <w:pStyle w:val="Prrafodelista"/>
        <w:numPr>
          <w:ilvl w:val="0"/>
          <w:numId w:val="2"/>
        </w:numPr>
        <w:spacing w:before="60" w:after="60"/>
      </w:pPr>
      <w:r>
        <w:t>Reformulación 1 aprobada en Comité 21 del 18 de julio de 2025: valor pasó de $22.931 M a $41.710 M para cubrir ajustes técnicos (mayores cantidades sanitarias, eliminación del SUDS, ampliación diámetro red pluvial) y la solución pluvial de la Calle 14.</w:t>
      </w:r>
    </w:p>
    <w:p w14:paraId="69948D66" w14:textId="77777777" w:rsidR="00F52ED5" w:rsidRDefault="001541F8">
      <w:pPr>
        <w:pStyle w:val="Prrafodelista"/>
        <w:numPr>
          <w:ilvl w:val="0"/>
          <w:numId w:val="2"/>
        </w:numPr>
        <w:spacing w:before="60" w:after="60"/>
      </w:pPr>
      <w:r>
        <w:t xml:space="preserve">Entrega parcial certificada en diciembre de 2025 de las redes sanitarias de los barrios El Carmen y 11 de </w:t>
      </w:r>
      <w:proofErr w:type="gramStart"/>
      <w:r>
        <w:t>Noviembre</w:t>
      </w:r>
      <w:proofErr w:type="gramEnd"/>
      <w:r>
        <w:t xml:space="preserve"> (~4.350 m de colectores).</w:t>
      </w:r>
    </w:p>
    <w:p w14:paraId="69948D67" w14:textId="77777777" w:rsidR="00F52ED5" w:rsidRDefault="00F52ED5">
      <w:pPr>
        <w:spacing w:after="120"/>
      </w:pPr>
    </w:p>
    <w:p w14:paraId="69948D68" w14:textId="77777777" w:rsidR="00F52ED5" w:rsidRDefault="001541F8">
      <w:pPr>
        <w:spacing w:before="120" w:after="120"/>
        <w:jc w:val="center"/>
      </w:pPr>
      <w:r>
        <w:rPr>
          <w:noProof/>
        </w:rPr>
        <w:drawing>
          <wp:inline distT="0" distB="0" distL="0" distR="0" wp14:anchorId="69948EC7" wp14:editId="69948EC8">
            <wp:extent cx="4762500" cy="2343150"/>
            <wp:effectExtent l="0" t="0" r="0" b="0"/>
            <wp:docPr id="540030873" name="Imagen 540030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6"/>
                    <a:srcRect/>
                    <a:stretch>
                      <a:fillRect/>
                    </a:stretch>
                  </pic:blipFill>
                  <pic:spPr bwMode="auto">
                    <a:xfrm>
                      <a:off x="0" y="0"/>
                      <a:ext cx="4762500" cy="2343150"/>
                    </a:xfrm>
                    <a:prstGeom prst="rect">
                      <a:avLst/>
                    </a:prstGeom>
                  </pic:spPr>
                </pic:pic>
              </a:graphicData>
            </a:graphic>
          </wp:inline>
        </w:drawing>
      </w:r>
    </w:p>
    <w:p w14:paraId="69948D69" w14:textId="77777777" w:rsidR="00F52ED5" w:rsidRDefault="001541F8">
      <w:pPr>
        <w:spacing w:after="80"/>
        <w:jc w:val="center"/>
      </w:pPr>
      <w:r>
        <w:rPr>
          <w:color w:val="666666"/>
          <w:sz w:val="16"/>
          <w:szCs w:val="16"/>
        </w:rPr>
        <w:t>Figura 7 — Pagos anuales al contratista de obra del Alcantarillado de Fonseca por fuente de financiación (COP)</w:t>
      </w:r>
    </w:p>
    <w:p w14:paraId="69948D6A" w14:textId="77777777" w:rsidR="00F52ED5" w:rsidRDefault="001541F8">
      <w:pPr>
        <w:spacing w:before="80" w:after="80" w:line="276" w:lineRule="auto"/>
        <w:jc w:val="both"/>
      </w:pPr>
      <w:r>
        <w:rPr>
          <w:color w:val="000000"/>
        </w:rPr>
        <w:t>Los pagos muestran un fuerte inicio en 2023 ($7.085,9 M, Préstamo BID 5193). En 2024 se incorpora la Donación COSUDE ($754,5 M), totalizando $2.446,8 M. En 2025, año de mayor ritmo de obra, se suman la Donación BID 5189 ($2.875,7 M) y más recursos COSUDE ($1.547,1 M), con un pico de $10.859,4 M pese al trámite del permiso INVIAS. Total ejecutado de todas las fuentes: $22.665,7 M.</w:t>
      </w:r>
    </w:p>
    <w:p w14:paraId="69948D6C" w14:textId="77777777" w:rsidR="00F52ED5" w:rsidRDefault="001541F8">
      <w:pPr>
        <w:pStyle w:val="Ttulo3"/>
      </w:pPr>
      <w:r>
        <w:t>Dificultades y retos</w:t>
      </w:r>
    </w:p>
    <w:p w14:paraId="69948D6D" w14:textId="77777777" w:rsidR="00F52ED5" w:rsidRDefault="001541F8">
      <w:pPr>
        <w:pStyle w:val="Prrafodelista"/>
        <w:numPr>
          <w:ilvl w:val="0"/>
          <w:numId w:val="2"/>
        </w:numPr>
        <w:spacing w:before="60" w:after="60"/>
      </w:pPr>
      <w:r>
        <w:t>Pendiente la obtención del permiso de ocupación de vía nacional ante INVIAS para 3 cruces de los sistemas pluvial y sanitario.</w:t>
      </w:r>
    </w:p>
    <w:p w14:paraId="69948D6E" w14:textId="77777777" w:rsidR="00F52ED5" w:rsidRDefault="001541F8">
      <w:pPr>
        <w:pStyle w:val="Prrafodelista"/>
        <w:numPr>
          <w:ilvl w:val="0"/>
          <w:numId w:val="2"/>
        </w:numPr>
        <w:spacing w:before="60" w:after="60"/>
      </w:pPr>
      <w:r>
        <w:t>La EBAR registra 75% de avance y requiere continuidad de ejecución.</w:t>
      </w:r>
    </w:p>
    <w:p w14:paraId="69948D6F" w14:textId="77777777" w:rsidR="00F52ED5" w:rsidRDefault="001541F8">
      <w:pPr>
        <w:pStyle w:val="Prrafodelista"/>
        <w:numPr>
          <w:ilvl w:val="0"/>
          <w:numId w:val="2"/>
        </w:numPr>
        <w:spacing w:before="60" w:after="60"/>
      </w:pPr>
      <w:r>
        <w:t>Fecha de terminación de obras: abril de 2026; interventoría: junio de 2026.</w:t>
      </w:r>
    </w:p>
    <w:p w14:paraId="0E8A28BA" w14:textId="77777777" w:rsidR="005F5615" w:rsidRDefault="005F5615" w:rsidP="005F5615">
      <w:pPr>
        <w:pStyle w:val="Prrafodelista"/>
        <w:spacing w:before="60" w:after="60"/>
        <w:ind w:left="360"/>
      </w:pPr>
    </w:p>
    <w:p w14:paraId="69948D71" w14:textId="77777777" w:rsidR="00F52ED5" w:rsidRDefault="001541F8">
      <w:pPr>
        <w:pStyle w:val="Ttulo2"/>
      </w:pPr>
      <w:r>
        <w:lastRenderedPageBreak/>
        <w:t>2.5 Acueducto del municipio de Urumita</w:t>
      </w:r>
    </w:p>
    <w:p w14:paraId="69948D72" w14:textId="77777777" w:rsidR="00F52ED5" w:rsidRDefault="001541F8">
      <w:pPr>
        <w:pStyle w:val="Ttulo3"/>
      </w:pPr>
      <w:r>
        <w:t>Alcance y beneficiarios</w:t>
      </w:r>
    </w:p>
    <w:p w14:paraId="69948D73" w14:textId="77777777" w:rsidR="00F52ED5" w:rsidRDefault="001541F8">
      <w:pPr>
        <w:spacing w:before="80" w:after="80" w:line="276" w:lineRule="auto"/>
        <w:jc w:val="both"/>
      </w:pPr>
      <w:r>
        <w:rPr>
          <w:color w:val="000000"/>
        </w:rPr>
        <w:t>Proyecto "Construcción y Optimización del Sistema de Acueducto (Nueva Bocatoma y Aducción Río Marquesote y Optimización Hidráulica) en el Municipio de Urumita". Beneficia a 10.753 habitantes con una meta de continuidad del servicio de 24 horas/día, 7 días/semana.</w:t>
      </w:r>
    </w:p>
    <w:p w14:paraId="69948D75" w14:textId="3843C3BC" w:rsidR="00F52ED5" w:rsidRDefault="00B77020">
      <w:pPr>
        <w:spacing w:before="120" w:after="120"/>
        <w:jc w:val="center"/>
      </w:pPr>
      <w:r w:rsidRPr="00B77020">
        <w:rPr>
          <w:noProof/>
        </w:rPr>
        <w:drawing>
          <wp:inline distT="0" distB="0" distL="0" distR="0" wp14:anchorId="1AB8C636" wp14:editId="3D98C0F6">
            <wp:extent cx="3489572" cy="4689397"/>
            <wp:effectExtent l="19050" t="19050" r="15875" b="16510"/>
            <wp:docPr id="2" name="Imagen 1">
              <a:extLst xmlns:a="http://schemas.openxmlformats.org/drawingml/2006/main">
                <a:ext uri="{FF2B5EF4-FFF2-40B4-BE49-F238E27FC236}">
                  <a16:creationId xmlns:a16="http://schemas.microsoft.com/office/drawing/2014/main" id="{20F43B86-FF4B-657C-6F52-642A5EFF848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1">
                      <a:extLst>
                        <a:ext uri="{FF2B5EF4-FFF2-40B4-BE49-F238E27FC236}">
                          <a16:creationId xmlns:a16="http://schemas.microsoft.com/office/drawing/2014/main" id="{20F43B86-FF4B-657C-6F52-642A5EFF8486}"/>
                        </a:ext>
                      </a:extLst>
                    </pic:cNvPr>
                    <pic:cNvPicPr>
                      <a:picLocks noChangeAspect="1"/>
                    </pic:cNvPicPr>
                  </pic:nvPicPr>
                  <pic:blipFill rotWithShape="1">
                    <a:blip r:embed="rId17" cstate="screen">
                      <a:extLst>
                        <a:ext uri="{28A0092B-C50C-407E-A947-70E740481C1C}">
                          <a14:useLocalDpi xmlns:a14="http://schemas.microsoft.com/office/drawing/2010/main"/>
                        </a:ext>
                      </a:extLst>
                    </a:blip>
                    <a:srcRect/>
                    <a:stretch/>
                  </pic:blipFill>
                  <pic:spPr>
                    <a:xfrm>
                      <a:off x="0" y="0"/>
                      <a:ext cx="3489572" cy="4689397"/>
                    </a:xfrm>
                    <a:prstGeom prst="rect">
                      <a:avLst/>
                    </a:prstGeom>
                    <a:ln>
                      <a:solidFill>
                        <a:srgbClr val="00B050"/>
                      </a:solidFill>
                    </a:ln>
                  </pic:spPr>
                </pic:pic>
              </a:graphicData>
            </a:graphic>
          </wp:inline>
        </w:drawing>
      </w:r>
    </w:p>
    <w:p w14:paraId="69948D76" w14:textId="77777777" w:rsidR="00F52ED5" w:rsidRDefault="001541F8">
      <w:pPr>
        <w:spacing w:after="120"/>
        <w:jc w:val="center"/>
      </w:pPr>
      <w:r>
        <w:rPr>
          <w:color w:val="666666"/>
          <w:sz w:val="16"/>
          <w:szCs w:val="16"/>
        </w:rPr>
        <w:t>Figura 8 — Esquema del Proyecto de Acueducto de Urumita (bocatoma, aducción, PTAP y tanque de almacenamiento)</w:t>
      </w:r>
    </w:p>
    <w:p w14:paraId="69948D77" w14:textId="77777777" w:rsidR="00F52ED5" w:rsidRDefault="00F52ED5">
      <w:pPr>
        <w:spacing w:after="120"/>
      </w:pPr>
    </w:p>
    <w:p w14:paraId="69948D78" w14:textId="77777777" w:rsidR="00F52ED5" w:rsidRDefault="001541F8">
      <w:pPr>
        <w:pStyle w:val="Ttulo3"/>
      </w:pPr>
      <w:r>
        <w:t>Alcance técnico</w:t>
      </w:r>
    </w:p>
    <w:p w14:paraId="69948D79" w14:textId="77777777" w:rsidR="00F52ED5" w:rsidRDefault="001541F8">
      <w:pPr>
        <w:pStyle w:val="Prrafodelista"/>
        <w:numPr>
          <w:ilvl w:val="0"/>
          <w:numId w:val="2"/>
        </w:numPr>
        <w:spacing w:before="60" w:after="60"/>
      </w:pPr>
      <w:r>
        <w:t>Nueva bocatoma sobre el río Marquesote y desarenador.</w:t>
      </w:r>
    </w:p>
    <w:p w14:paraId="69948D7A" w14:textId="77777777" w:rsidR="00F52ED5" w:rsidRDefault="001541F8">
      <w:pPr>
        <w:pStyle w:val="Prrafodelista"/>
        <w:numPr>
          <w:ilvl w:val="0"/>
          <w:numId w:val="2"/>
        </w:numPr>
        <w:spacing w:before="60" w:after="60"/>
      </w:pPr>
      <w:r>
        <w:t>Aducción de 4,3 km entre el desarenador y la PTAP (incluyendo viaductos sobre la aducción – tramo 2).</w:t>
      </w:r>
    </w:p>
    <w:p w14:paraId="69948D7B" w14:textId="77777777" w:rsidR="00F52ED5" w:rsidRDefault="001541F8">
      <w:pPr>
        <w:pStyle w:val="Prrafodelista"/>
        <w:numPr>
          <w:ilvl w:val="0"/>
          <w:numId w:val="2"/>
        </w:numPr>
        <w:spacing w:before="60" w:after="60"/>
      </w:pPr>
      <w:r>
        <w:t xml:space="preserve">Optimización de la PTAP: tanque de contacto de cloro y tanque </w:t>
      </w:r>
      <w:proofErr w:type="spellStart"/>
      <w:r>
        <w:t>homogenizador</w:t>
      </w:r>
      <w:proofErr w:type="spellEnd"/>
      <w:r>
        <w:t>.</w:t>
      </w:r>
    </w:p>
    <w:p w14:paraId="69948D7C" w14:textId="77777777" w:rsidR="00F52ED5" w:rsidRDefault="001541F8">
      <w:pPr>
        <w:pStyle w:val="Prrafodelista"/>
        <w:numPr>
          <w:ilvl w:val="0"/>
          <w:numId w:val="2"/>
        </w:numPr>
        <w:spacing w:before="60" w:after="60"/>
      </w:pPr>
      <w:r>
        <w:t>Nuevo tanque de almacenamiento.</w:t>
      </w:r>
    </w:p>
    <w:p w14:paraId="69948D7D" w14:textId="77777777" w:rsidR="00F52ED5" w:rsidRDefault="00F52ED5">
      <w:pPr>
        <w:spacing w:after="120"/>
      </w:pPr>
    </w:p>
    <w:p w14:paraId="69948D7E" w14:textId="6F03ADBC" w:rsidR="00F52ED5" w:rsidRDefault="001541F8">
      <w:pPr>
        <w:pStyle w:val="Ttulo3"/>
      </w:pPr>
      <w:r>
        <w:t xml:space="preserve">Avances y logros del período </w:t>
      </w:r>
      <w:r w:rsidR="00A07C9C">
        <w:t>del Programa</w:t>
      </w:r>
    </w:p>
    <w:p w14:paraId="69948D7F" w14:textId="174D9B45" w:rsidR="00F52ED5" w:rsidRDefault="001541F8">
      <w:pPr>
        <w:pStyle w:val="Prrafodelista"/>
        <w:numPr>
          <w:ilvl w:val="0"/>
          <w:numId w:val="2"/>
        </w:numPr>
        <w:spacing w:before="60" w:after="60"/>
      </w:pPr>
      <w:r>
        <w:t xml:space="preserve">Avance físico al </w:t>
      </w:r>
      <w:r w:rsidR="002C28EF">
        <w:t>30</w:t>
      </w:r>
      <w:r>
        <w:t xml:space="preserve"> de junio de 2026: 80,4% del valor contractual actualizado.</w:t>
      </w:r>
    </w:p>
    <w:p w14:paraId="69948D80" w14:textId="77777777" w:rsidR="00F52ED5" w:rsidRDefault="001541F8">
      <w:pPr>
        <w:pStyle w:val="Prrafodelista"/>
        <w:numPr>
          <w:ilvl w:val="0"/>
          <w:numId w:val="2"/>
        </w:numPr>
        <w:spacing w:before="60" w:after="60"/>
      </w:pPr>
      <w:r>
        <w:t>Bocatoma: construcción de la estructura al 95%; desarenador: 100% de la estructura.</w:t>
      </w:r>
    </w:p>
    <w:p w14:paraId="69948D81" w14:textId="77777777" w:rsidR="00F52ED5" w:rsidRDefault="001541F8">
      <w:pPr>
        <w:pStyle w:val="Prrafodelista"/>
        <w:numPr>
          <w:ilvl w:val="0"/>
          <w:numId w:val="2"/>
        </w:numPr>
        <w:spacing w:before="60" w:after="60"/>
      </w:pPr>
      <w:r>
        <w:lastRenderedPageBreak/>
        <w:t>Aducción: instalación de 4,30 km de tubería (87%).</w:t>
      </w:r>
    </w:p>
    <w:p w14:paraId="69948D82" w14:textId="77777777" w:rsidR="00F52ED5" w:rsidRDefault="001541F8">
      <w:pPr>
        <w:pStyle w:val="Prrafodelista"/>
        <w:numPr>
          <w:ilvl w:val="0"/>
          <w:numId w:val="2"/>
        </w:numPr>
        <w:spacing w:before="60" w:after="60"/>
      </w:pPr>
      <w:r>
        <w:t xml:space="preserve">PTAP: avance del 56% en el tanque de contacto de cloro y 46% en el tanque </w:t>
      </w:r>
      <w:proofErr w:type="spellStart"/>
      <w:r>
        <w:t>homogenizador</w:t>
      </w:r>
      <w:proofErr w:type="spellEnd"/>
      <w:r>
        <w:t>.</w:t>
      </w:r>
    </w:p>
    <w:p w14:paraId="69948D83" w14:textId="77777777" w:rsidR="00F52ED5" w:rsidRDefault="001541F8">
      <w:pPr>
        <w:pStyle w:val="Prrafodelista"/>
        <w:numPr>
          <w:ilvl w:val="0"/>
          <w:numId w:val="2"/>
        </w:numPr>
        <w:spacing w:before="60" w:after="60"/>
      </w:pPr>
      <w:r>
        <w:t>Tanque de almacenamiento: estructura al 82%.</w:t>
      </w:r>
    </w:p>
    <w:p w14:paraId="69948D84" w14:textId="77777777" w:rsidR="00F52ED5" w:rsidRDefault="001541F8">
      <w:pPr>
        <w:pStyle w:val="Prrafodelista"/>
        <w:numPr>
          <w:ilvl w:val="0"/>
          <w:numId w:val="2"/>
        </w:numPr>
        <w:spacing w:before="60" w:after="60"/>
      </w:pPr>
      <w:r>
        <w:t>Superación de condiciones de acceso difícil (roca, pendientes pronunciadas) que no estaban previstas en la planeación inicial.</w:t>
      </w:r>
    </w:p>
    <w:p w14:paraId="69948D85" w14:textId="77777777" w:rsidR="00F52ED5" w:rsidRDefault="001541F8">
      <w:pPr>
        <w:pStyle w:val="Prrafodelista"/>
        <w:numPr>
          <w:ilvl w:val="0"/>
          <w:numId w:val="2"/>
        </w:numPr>
        <w:spacing w:before="60" w:after="60"/>
      </w:pPr>
      <w:r>
        <w:t>Se trabaja en reformulación y plan de choque para la entrega de la obra en el segundo semestre de 2026.</w:t>
      </w:r>
    </w:p>
    <w:p w14:paraId="69948D86" w14:textId="77777777" w:rsidR="00F52ED5" w:rsidRDefault="00F52ED5">
      <w:pPr>
        <w:spacing w:after="120"/>
      </w:pPr>
    </w:p>
    <w:p w14:paraId="69948D87" w14:textId="77777777" w:rsidR="00F52ED5" w:rsidRDefault="001541F8">
      <w:pPr>
        <w:spacing w:before="120" w:after="120"/>
        <w:jc w:val="center"/>
      </w:pPr>
      <w:r>
        <w:rPr>
          <w:noProof/>
        </w:rPr>
        <w:drawing>
          <wp:inline distT="0" distB="0" distL="0" distR="0" wp14:anchorId="69948ECB" wp14:editId="69948ECC">
            <wp:extent cx="4762500" cy="2343150"/>
            <wp:effectExtent l="0" t="0" r="0" b="0"/>
            <wp:docPr id="1032525635" name="Imagen 1032525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8"/>
                    <a:srcRect/>
                    <a:stretch>
                      <a:fillRect/>
                    </a:stretch>
                  </pic:blipFill>
                  <pic:spPr bwMode="auto">
                    <a:xfrm>
                      <a:off x="0" y="0"/>
                      <a:ext cx="4762500" cy="2343150"/>
                    </a:xfrm>
                    <a:prstGeom prst="rect">
                      <a:avLst/>
                    </a:prstGeom>
                  </pic:spPr>
                </pic:pic>
              </a:graphicData>
            </a:graphic>
          </wp:inline>
        </w:drawing>
      </w:r>
    </w:p>
    <w:p w14:paraId="69948D88" w14:textId="77777777" w:rsidR="00F52ED5" w:rsidRDefault="001541F8">
      <w:pPr>
        <w:spacing w:after="80"/>
        <w:jc w:val="center"/>
      </w:pPr>
      <w:r>
        <w:rPr>
          <w:color w:val="666666"/>
          <w:sz w:val="16"/>
          <w:szCs w:val="16"/>
        </w:rPr>
        <w:t>Figura 9 — Pagos anuales al contratista de obra del Acueducto de Urumita por fuente de financiación (COP)</w:t>
      </w:r>
    </w:p>
    <w:p w14:paraId="69948D89" w14:textId="77777777" w:rsidR="00F52ED5" w:rsidRDefault="001541F8">
      <w:pPr>
        <w:spacing w:before="80" w:after="80" w:line="276" w:lineRule="auto"/>
        <w:jc w:val="both"/>
      </w:pPr>
      <w:r>
        <w:rPr>
          <w:color w:val="000000"/>
        </w:rPr>
        <w:t>Los pagos de la obra de Urumita iniciaron en 2024 ($4.505,9 M, solo Préstamo BID 5193). En 2025 se incorporan la Donación BID 5189 ($1.000 M) y la Donación COSUDE ($663 M), elevando el total del año a $5.183,7 M pese a las dificultades geológicas y los trámites de permisos. En 2026 se registran $1.995,2 M a mayo, incluyendo $107,4 M de COSUDE. Total ejecutado de todas las fuentes: $11.684,8 M.</w:t>
      </w:r>
    </w:p>
    <w:p w14:paraId="69948D8B" w14:textId="77777777" w:rsidR="00F52ED5" w:rsidRDefault="001541F8">
      <w:pPr>
        <w:pStyle w:val="Ttulo3"/>
      </w:pPr>
      <w:r>
        <w:t>Dificultades y retos</w:t>
      </w:r>
    </w:p>
    <w:p w14:paraId="69948D8C" w14:textId="77777777" w:rsidR="00F52ED5" w:rsidRDefault="001541F8">
      <w:pPr>
        <w:pStyle w:val="Prrafodelista"/>
        <w:numPr>
          <w:ilvl w:val="0"/>
          <w:numId w:val="2"/>
        </w:numPr>
        <w:spacing w:before="60" w:after="60"/>
      </w:pPr>
      <w:r>
        <w:t>Condiciones geológicas (presencia de roca en hasta 60-70% de la excavación) generaron atrasos significativos respecto al cronograma original.</w:t>
      </w:r>
    </w:p>
    <w:p w14:paraId="69948D8D" w14:textId="77777777" w:rsidR="00F52ED5" w:rsidRDefault="001541F8">
      <w:pPr>
        <w:pStyle w:val="Prrafodelista"/>
        <w:numPr>
          <w:ilvl w:val="0"/>
          <w:numId w:val="2"/>
        </w:numPr>
        <w:spacing w:before="60" w:after="60"/>
      </w:pPr>
      <w:r>
        <w:t>Demoras en los diseños complementarios de la aducción – tramo 2 y en el permiso de ocupación de cauce ante Corpoguajira para los viaductos.</w:t>
      </w:r>
    </w:p>
    <w:p w14:paraId="69948D8E" w14:textId="77777777" w:rsidR="00F52ED5" w:rsidRDefault="001541F8">
      <w:pPr>
        <w:pStyle w:val="Prrafodelista"/>
        <w:numPr>
          <w:ilvl w:val="0"/>
          <w:numId w:val="2"/>
        </w:numPr>
        <w:spacing w:before="60" w:after="60"/>
      </w:pPr>
      <w:r>
        <w:t>Se requiere adición de recursos por valor de $8.000 M para concluir el proyecto.</w:t>
      </w:r>
    </w:p>
    <w:p w14:paraId="69948D8F" w14:textId="77777777" w:rsidR="00F52ED5" w:rsidRDefault="001541F8">
      <w:pPr>
        <w:pStyle w:val="Prrafodelista"/>
        <w:numPr>
          <w:ilvl w:val="0"/>
          <w:numId w:val="2"/>
        </w:numPr>
        <w:spacing w:before="60" w:after="60"/>
      </w:pPr>
      <w:r>
        <w:t>La obra más crítica del Programa dado su nivel de avance relativo y el plazo de cierre del Préstamo (23 de diciembre de 2026).</w:t>
      </w:r>
    </w:p>
    <w:p w14:paraId="69948D90" w14:textId="77777777" w:rsidR="00F52ED5" w:rsidRDefault="001541F8">
      <w:r>
        <w:br w:type="page"/>
      </w:r>
    </w:p>
    <w:p w14:paraId="69948D91" w14:textId="77777777" w:rsidR="00F52ED5" w:rsidRDefault="001541F8">
      <w:pPr>
        <w:pStyle w:val="Ttulo1"/>
      </w:pPr>
      <w:r>
        <w:lastRenderedPageBreak/>
        <w:t>3. Componente 2: Fortalecimiento Institucional</w:t>
      </w:r>
    </w:p>
    <w:p w14:paraId="69948D92" w14:textId="1915FA52" w:rsidR="00F52ED5" w:rsidRDefault="001541F8">
      <w:pPr>
        <w:spacing w:before="80" w:after="80" w:line="276" w:lineRule="auto"/>
        <w:jc w:val="both"/>
      </w:pPr>
      <w:r>
        <w:rPr>
          <w:color w:val="000000"/>
        </w:rPr>
        <w:t xml:space="preserve">El Componente 2 financia actividades de apoyo a la mejora de la gestión institucional de los prestadores del servicio y de las autoridades ambientales del departamento. Su ejecución avanzó en la segunda mitad del período </w:t>
      </w:r>
      <w:r w:rsidR="00A93185">
        <w:rPr>
          <w:color w:val="000000"/>
        </w:rPr>
        <w:t>del Programa</w:t>
      </w:r>
      <w:r>
        <w:rPr>
          <w:color w:val="000000"/>
        </w:rPr>
        <w:t>, una vez consolidados los procesos del Componente 1.</w:t>
      </w:r>
    </w:p>
    <w:tbl>
      <w:tblPr>
        <w:tblW w:w="88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3200"/>
        <w:gridCol w:w="3200"/>
        <w:gridCol w:w="2480"/>
      </w:tblGrid>
      <w:tr w:rsidR="00F52ED5" w14:paraId="69948D97" w14:textId="77777777">
        <w:trPr>
          <w:tblHeader/>
        </w:trPr>
        <w:tc>
          <w:tcPr>
            <w:tcW w:w="3200" w:type="dxa"/>
            <w:tcBorders>
              <w:top w:val="single" w:sz="4" w:space="0" w:color="BBBBBB"/>
              <w:left w:val="single" w:sz="4" w:space="0" w:color="BBBBBB"/>
              <w:bottom w:val="single" w:sz="4" w:space="0" w:color="BBBBBB"/>
              <w:right w:val="single" w:sz="4" w:space="0" w:color="BBBBBB"/>
            </w:tcBorders>
            <w:shd w:val="clear" w:color="auto" w:fill="2E75B6"/>
            <w:tcMar>
              <w:top w:w="80" w:type="dxa"/>
              <w:left w:w="120" w:type="dxa"/>
              <w:bottom w:w="80" w:type="dxa"/>
              <w:right w:w="120" w:type="dxa"/>
            </w:tcMar>
            <w:vAlign w:val="center"/>
          </w:tcPr>
          <w:p w14:paraId="69948D94" w14:textId="77777777" w:rsidR="00F52ED5" w:rsidRDefault="001541F8">
            <w:r>
              <w:rPr>
                <w:b/>
                <w:bCs/>
                <w:color w:val="FFFFFF"/>
                <w:sz w:val="18"/>
                <w:szCs w:val="18"/>
              </w:rPr>
              <w:t>Actividad</w:t>
            </w:r>
          </w:p>
        </w:tc>
        <w:tc>
          <w:tcPr>
            <w:tcW w:w="3200" w:type="dxa"/>
            <w:tcBorders>
              <w:top w:val="single" w:sz="4" w:space="0" w:color="BBBBBB"/>
              <w:left w:val="single" w:sz="4" w:space="0" w:color="BBBBBB"/>
              <w:bottom w:val="single" w:sz="4" w:space="0" w:color="BBBBBB"/>
              <w:right w:val="single" w:sz="4" w:space="0" w:color="BBBBBB"/>
            </w:tcBorders>
            <w:shd w:val="clear" w:color="auto" w:fill="2E75B6"/>
            <w:tcMar>
              <w:top w:w="80" w:type="dxa"/>
              <w:left w:w="120" w:type="dxa"/>
              <w:bottom w:w="80" w:type="dxa"/>
              <w:right w:w="120" w:type="dxa"/>
            </w:tcMar>
            <w:vAlign w:val="center"/>
          </w:tcPr>
          <w:p w14:paraId="69948D95" w14:textId="77777777" w:rsidR="00F52ED5" w:rsidRDefault="001541F8">
            <w:r>
              <w:rPr>
                <w:b/>
                <w:bCs/>
                <w:color w:val="FFFFFF"/>
                <w:sz w:val="18"/>
                <w:szCs w:val="18"/>
              </w:rPr>
              <w:t>Estado al cierre del gobierno</w:t>
            </w:r>
          </w:p>
        </w:tc>
        <w:tc>
          <w:tcPr>
            <w:tcW w:w="2480" w:type="dxa"/>
            <w:tcBorders>
              <w:top w:val="single" w:sz="4" w:space="0" w:color="BBBBBB"/>
              <w:left w:val="single" w:sz="4" w:space="0" w:color="BBBBBB"/>
              <w:bottom w:val="single" w:sz="4" w:space="0" w:color="BBBBBB"/>
              <w:right w:val="single" w:sz="4" w:space="0" w:color="BBBBBB"/>
            </w:tcBorders>
            <w:shd w:val="clear" w:color="auto" w:fill="2E75B6"/>
            <w:tcMar>
              <w:top w:w="80" w:type="dxa"/>
              <w:left w:w="120" w:type="dxa"/>
              <w:bottom w:w="80" w:type="dxa"/>
              <w:right w:w="120" w:type="dxa"/>
            </w:tcMar>
            <w:vAlign w:val="center"/>
          </w:tcPr>
          <w:p w14:paraId="69948D96" w14:textId="77777777" w:rsidR="00F52ED5" w:rsidRDefault="001541F8">
            <w:pPr>
              <w:jc w:val="center"/>
            </w:pPr>
            <w:r>
              <w:rPr>
                <w:b/>
                <w:bCs/>
                <w:color w:val="FFFFFF"/>
                <w:sz w:val="18"/>
                <w:szCs w:val="18"/>
              </w:rPr>
              <w:t>Pendiente</w:t>
            </w:r>
          </w:p>
        </w:tc>
      </w:tr>
      <w:tr w:rsidR="00F52ED5" w14:paraId="69948D9B" w14:textId="77777777">
        <w:tc>
          <w:tcPr>
            <w:tcW w:w="3200" w:type="dxa"/>
            <w:tcBorders>
              <w:top w:val="single" w:sz="4" w:space="0" w:color="BBBBBB"/>
              <w:left w:val="single" w:sz="4" w:space="0" w:color="BBBBBB"/>
              <w:bottom w:val="single" w:sz="4" w:space="0" w:color="BBBBBB"/>
              <w:right w:val="single" w:sz="4" w:space="0" w:color="BBBBBB"/>
            </w:tcBorders>
            <w:shd w:val="clear" w:color="auto" w:fill="FFFFFF"/>
            <w:tcMar>
              <w:top w:w="80" w:type="dxa"/>
              <w:left w:w="120" w:type="dxa"/>
              <w:bottom w:w="80" w:type="dxa"/>
              <w:right w:w="120" w:type="dxa"/>
            </w:tcMar>
            <w:vAlign w:val="center"/>
          </w:tcPr>
          <w:p w14:paraId="69948D98" w14:textId="77777777" w:rsidR="00F52ED5" w:rsidRDefault="001541F8">
            <w:r>
              <w:rPr>
                <w:b/>
                <w:bCs/>
                <w:color w:val="000000"/>
                <w:sz w:val="18"/>
                <w:szCs w:val="18"/>
              </w:rPr>
              <w:t>Unidad Móvil de laboratorio para Corpoguajira</w:t>
            </w:r>
          </w:p>
        </w:tc>
        <w:tc>
          <w:tcPr>
            <w:tcW w:w="3200" w:type="dxa"/>
            <w:tcBorders>
              <w:top w:val="single" w:sz="4" w:space="0" w:color="BBBBBB"/>
              <w:left w:val="single" w:sz="4" w:space="0" w:color="BBBBBB"/>
              <w:bottom w:val="single" w:sz="4" w:space="0" w:color="BBBBBB"/>
              <w:right w:val="single" w:sz="4" w:space="0" w:color="BBBBBB"/>
            </w:tcBorders>
            <w:shd w:val="clear" w:color="auto" w:fill="FFFFFF"/>
            <w:tcMar>
              <w:top w:w="80" w:type="dxa"/>
              <w:left w:w="120" w:type="dxa"/>
              <w:bottom w:w="80" w:type="dxa"/>
              <w:right w:w="120" w:type="dxa"/>
            </w:tcMar>
            <w:vAlign w:val="center"/>
          </w:tcPr>
          <w:p w14:paraId="69948D99" w14:textId="77777777" w:rsidR="00F52ED5" w:rsidRDefault="001541F8">
            <w:r>
              <w:rPr>
                <w:color w:val="000000"/>
                <w:sz w:val="18"/>
                <w:szCs w:val="18"/>
              </w:rPr>
              <w:t>Vehículo entregado a Corpoguajira el 22 de mayo de 2026 con equipos de laboratorio incluidos</w:t>
            </w:r>
          </w:p>
        </w:tc>
        <w:tc>
          <w:tcPr>
            <w:tcW w:w="2480" w:type="dxa"/>
            <w:tcBorders>
              <w:top w:val="single" w:sz="4" w:space="0" w:color="BBBBBB"/>
              <w:left w:val="single" w:sz="4" w:space="0" w:color="BBBBBB"/>
              <w:bottom w:val="single" w:sz="4" w:space="0" w:color="BBBBBB"/>
              <w:right w:val="single" w:sz="4" w:space="0" w:color="BBBBBB"/>
            </w:tcBorders>
            <w:shd w:val="clear" w:color="auto" w:fill="FFFFFF"/>
            <w:tcMar>
              <w:top w:w="80" w:type="dxa"/>
              <w:left w:w="120" w:type="dxa"/>
              <w:bottom w:w="80" w:type="dxa"/>
              <w:right w:w="120" w:type="dxa"/>
            </w:tcMar>
            <w:vAlign w:val="center"/>
          </w:tcPr>
          <w:p w14:paraId="69948D9A" w14:textId="77777777" w:rsidR="00F52ED5" w:rsidRDefault="001541F8">
            <w:pPr>
              <w:jc w:val="center"/>
            </w:pPr>
            <w:r>
              <w:rPr>
                <w:color w:val="000000"/>
                <w:sz w:val="18"/>
                <w:szCs w:val="18"/>
              </w:rPr>
              <w:t>Acta de entrega formal de la Unidad Móvil</w:t>
            </w:r>
          </w:p>
        </w:tc>
      </w:tr>
      <w:tr w:rsidR="00F52ED5" w14:paraId="69948D9F" w14:textId="77777777">
        <w:tc>
          <w:tcPr>
            <w:tcW w:w="3200" w:type="dxa"/>
            <w:tcBorders>
              <w:top w:val="single" w:sz="4" w:space="0" w:color="BBBBBB"/>
              <w:left w:val="single" w:sz="4" w:space="0" w:color="BBBBBB"/>
              <w:bottom w:val="single" w:sz="4" w:space="0" w:color="BBBBBB"/>
              <w:right w:val="single" w:sz="4" w:space="0" w:color="BBBBBB"/>
            </w:tcBorders>
            <w:shd w:val="clear" w:color="auto" w:fill="F2F2F2"/>
            <w:tcMar>
              <w:top w:w="80" w:type="dxa"/>
              <w:left w:w="120" w:type="dxa"/>
              <w:bottom w:w="80" w:type="dxa"/>
              <w:right w:w="120" w:type="dxa"/>
            </w:tcMar>
            <w:vAlign w:val="center"/>
          </w:tcPr>
          <w:p w14:paraId="69948D9C" w14:textId="77777777" w:rsidR="00F52ED5" w:rsidRDefault="001541F8">
            <w:r>
              <w:rPr>
                <w:b/>
                <w:bCs/>
                <w:color w:val="000000"/>
                <w:sz w:val="18"/>
                <w:szCs w:val="18"/>
              </w:rPr>
              <w:t>Mejoramiento laboratorio ambiental Corpoguajira</w:t>
            </w:r>
          </w:p>
        </w:tc>
        <w:tc>
          <w:tcPr>
            <w:tcW w:w="3200" w:type="dxa"/>
            <w:tcBorders>
              <w:top w:val="single" w:sz="4" w:space="0" w:color="BBBBBB"/>
              <w:left w:val="single" w:sz="4" w:space="0" w:color="BBBBBB"/>
              <w:bottom w:val="single" w:sz="4" w:space="0" w:color="BBBBBB"/>
              <w:right w:val="single" w:sz="4" w:space="0" w:color="BBBBBB"/>
            </w:tcBorders>
            <w:shd w:val="clear" w:color="auto" w:fill="F2F2F2"/>
            <w:tcMar>
              <w:top w:w="80" w:type="dxa"/>
              <w:left w:w="120" w:type="dxa"/>
              <w:bottom w:w="80" w:type="dxa"/>
              <w:right w:w="120" w:type="dxa"/>
            </w:tcMar>
            <w:vAlign w:val="center"/>
          </w:tcPr>
          <w:p w14:paraId="69948D9D" w14:textId="77777777" w:rsidR="00F52ED5" w:rsidRDefault="001541F8">
            <w:r>
              <w:rPr>
                <w:color w:val="000000"/>
                <w:sz w:val="18"/>
                <w:szCs w:val="18"/>
              </w:rPr>
              <w:t>Diseños de remodelación contratados (sept. 2025); obra civil en alistamiento</w:t>
            </w:r>
          </w:p>
        </w:tc>
        <w:tc>
          <w:tcPr>
            <w:tcW w:w="2480" w:type="dxa"/>
            <w:tcBorders>
              <w:top w:val="single" w:sz="4" w:space="0" w:color="BBBBBB"/>
              <w:left w:val="single" w:sz="4" w:space="0" w:color="BBBBBB"/>
              <w:bottom w:val="single" w:sz="4" w:space="0" w:color="BBBBBB"/>
              <w:right w:val="single" w:sz="4" w:space="0" w:color="BBBBBB"/>
            </w:tcBorders>
            <w:shd w:val="clear" w:color="auto" w:fill="F2F2F2"/>
            <w:tcMar>
              <w:top w:w="80" w:type="dxa"/>
              <w:left w:w="120" w:type="dxa"/>
              <w:bottom w:w="80" w:type="dxa"/>
              <w:right w:w="120" w:type="dxa"/>
            </w:tcMar>
            <w:vAlign w:val="center"/>
          </w:tcPr>
          <w:p w14:paraId="69948D9E" w14:textId="77777777" w:rsidR="00F52ED5" w:rsidRDefault="001541F8">
            <w:pPr>
              <w:jc w:val="center"/>
            </w:pPr>
            <w:r>
              <w:rPr>
                <w:color w:val="000000"/>
                <w:sz w:val="18"/>
                <w:szCs w:val="18"/>
              </w:rPr>
              <w:t>Ejecución proyectada en 2026</w:t>
            </w:r>
          </w:p>
        </w:tc>
      </w:tr>
      <w:tr w:rsidR="00F52ED5" w14:paraId="69948DA3" w14:textId="77777777">
        <w:tc>
          <w:tcPr>
            <w:tcW w:w="3200" w:type="dxa"/>
            <w:tcBorders>
              <w:top w:val="single" w:sz="4" w:space="0" w:color="BBBBBB"/>
              <w:left w:val="single" w:sz="4" w:space="0" w:color="BBBBBB"/>
              <w:bottom w:val="single" w:sz="4" w:space="0" w:color="BBBBBB"/>
              <w:right w:val="single" w:sz="4" w:space="0" w:color="BBBBBB"/>
            </w:tcBorders>
            <w:shd w:val="clear" w:color="auto" w:fill="FFFFFF"/>
            <w:tcMar>
              <w:top w:w="80" w:type="dxa"/>
              <w:left w:w="120" w:type="dxa"/>
              <w:bottom w:w="80" w:type="dxa"/>
              <w:right w:w="120" w:type="dxa"/>
            </w:tcMar>
            <w:vAlign w:val="center"/>
          </w:tcPr>
          <w:p w14:paraId="69948DA0" w14:textId="77777777" w:rsidR="00F52ED5" w:rsidRDefault="001541F8">
            <w:r>
              <w:rPr>
                <w:b/>
                <w:bCs/>
                <w:color w:val="000000"/>
                <w:sz w:val="18"/>
                <w:szCs w:val="18"/>
              </w:rPr>
              <w:t>Plan de comunicaciones Fase 3 – Riohacha</w:t>
            </w:r>
          </w:p>
        </w:tc>
        <w:tc>
          <w:tcPr>
            <w:tcW w:w="3200" w:type="dxa"/>
            <w:tcBorders>
              <w:top w:val="single" w:sz="4" w:space="0" w:color="BBBBBB"/>
              <w:left w:val="single" w:sz="4" w:space="0" w:color="BBBBBB"/>
              <w:bottom w:val="single" w:sz="4" w:space="0" w:color="BBBBBB"/>
              <w:right w:val="single" w:sz="4" w:space="0" w:color="BBBBBB"/>
            </w:tcBorders>
            <w:shd w:val="clear" w:color="auto" w:fill="FFFFFF"/>
            <w:tcMar>
              <w:top w:w="80" w:type="dxa"/>
              <w:left w:w="120" w:type="dxa"/>
              <w:bottom w:w="80" w:type="dxa"/>
              <w:right w:w="120" w:type="dxa"/>
            </w:tcMar>
            <w:vAlign w:val="center"/>
          </w:tcPr>
          <w:p w14:paraId="69948DA1" w14:textId="77777777" w:rsidR="00F52ED5" w:rsidRDefault="001541F8">
            <w:r>
              <w:rPr>
                <w:color w:val="000000"/>
                <w:sz w:val="18"/>
                <w:szCs w:val="18"/>
              </w:rPr>
              <w:t>Consultoría contratada (nov. 2025) para divulgación, socialización de obras y avances comunitarios</w:t>
            </w:r>
          </w:p>
        </w:tc>
        <w:tc>
          <w:tcPr>
            <w:tcW w:w="2480" w:type="dxa"/>
            <w:tcBorders>
              <w:top w:val="single" w:sz="4" w:space="0" w:color="BBBBBB"/>
              <w:left w:val="single" w:sz="4" w:space="0" w:color="BBBBBB"/>
              <w:bottom w:val="single" w:sz="4" w:space="0" w:color="BBBBBB"/>
              <w:right w:val="single" w:sz="4" w:space="0" w:color="BBBBBB"/>
            </w:tcBorders>
            <w:shd w:val="clear" w:color="auto" w:fill="FFFFFF"/>
            <w:tcMar>
              <w:top w:w="80" w:type="dxa"/>
              <w:left w:w="120" w:type="dxa"/>
              <w:bottom w:w="80" w:type="dxa"/>
              <w:right w:w="120" w:type="dxa"/>
            </w:tcMar>
            <w:vAlign w:val="center"/>
          </w:tcPr>
          <w:p w14:paraId="69948DA2" w14:textId="77777777" w:rsidR="00F52ED5" w:rsidRDefault="001541F8">
            <w:pPr>
              <w:jc w:val="center"/>
            </w:pPr>
            <w:r>
              <w:rPr>
                <w:color w:val="000000"/>
                <w:sz w:val="18"/>
                <w:szCs w:val="18"/>
              </w:rPr>
              <w:t>En ejecución</w:t>
            </w:r>
          </w:p>
        </w:tc>
      </w:tr>
      <w:tr w:rsidR="00F52ED5" w14:paraId="69948DA7" w14:textId="77777777">
        <w:tc>
          <w:tcPr>
            <w:tcW w:w="3200" w:type="dxa"/>
            <w:tcBorders>
              <w:top w:val="single" w:sz="4" w:space="0" w:color="BBBBBB"/>
              <w:left w:val="single" w:sz="4" w:space="0" w:color="BBBBBB"/>
              <w:bottom w:val="single" w:sz="4" w:space="0" w:color="BBBBBB"/>
              <w:right w:val="single" w:sz="4" w:space="0" w:color="BBBBBB"/>
            </w:tcBorders>
            <w:shd w:val="clear" w:color="auto" w:fill="F2F2F2"/>
            <w:tcMar>
              <w:top w:w="80" w:type="dxa"/>
              <w:left w:w="120" w:type="dxa"/>
              <w:bottom w:w="80" w:type="dxa"/>
              <w:right w:w="120" w:type="dxa"/>
            </w:tcMar>
            <w:vAlign w:val="center"/>
          </w:tcPr>
          <w:p w14:paraId="69948DA4" w14:textId="77777777" w:rsidR="00F52ED5" w:rsidRDefault="001541F8">
            <w:r>
              <w:rPr>
                <w:b/>
                <w:bCs/>
                <w:color w:val="000000"/>
                <w:sz w:val="18"/>
                <w:szCs w:val="18"/>
              </w:rPr>
              <w:t>Plan de comunicaciones Fase 3 – Fonseca y Urumita</w:t>
            </w:r>
          </w:p>
        </w:tc>
        <w:tc>
          <w:tcPr>
            <w:tcW w:w="3200" w:type="dxa"/>
            <w:tcBorders>
              <w:top w:val="single" w:sz="4" w:space="0" w:color="BBBBBB"/>
              <w:left w:val="single" w:sz="4" w:space="0" w:color="BBBBBB"/>
              <w:bottom w:val="single" w:sz="4" w:space="0" w:color="BBBBBB"/>
              <w:right w:val="single" w:sz="4" w:space="0" w:color="BBBBBB"/>
            </w:tcBorders>
            <w:shd w:val="clear" w:color="auto" w:fill="F2F2F2"/>
            <w:tcMar>
              <w:top w:w="80" w:type="dxa"/>
              <w:left w:w="120" w:type="dxa"/>
              <w:bottom w:w="80" w:type="dxa"/>
              <w:right w:w="120" w:type="dxa"/>
            </w:tcMar>
            <w:vAlign w:val="center"/>
          </w:tcPr>
          <w:p w14:paraId="69948DA5" w14:textId="77777777" w:rsidR="00F52ED5" w:rsidRDefault="001541F8">
            <w:r>
              <w:rPr>
                <w:color w:val="000000"/>
                <w:sz w:val="18"/>
                <w:szCs w:val="18"/>
              </w:rPr>
              <w:t>Consultoría contratada y en ejecución</w:t>
            </w:r>
          </w:p>
        </w:tc>
        <w:tc>
          <w:tcPr>
            <w:tcW w:w="2480" w:type="dxa"/>
            <w:tcBorders>
              <w:top w:val="single" w:sz="4" w:space="0" w:color="BBBBBB"/>
              <w:left w:val="single" w:sz="4" w:space="0" w:color="BBBBBB"/>
              <w:bottom w:val="single" w:sz="4" w:space="0" w:color="BBBBBB"/>
              <w:right w:val="single" w:sz="4" w:space="0" w:color="BBBBBB"/>
            </w:tcBorders>
            <w:shd w:val="clear" w:color="auto" w:fill="F2F2F2"/>
            <w:tcMar>
              <w:top w:w="80" w:type="dxa"/>
              <w:left w:w="120" w:type="dxa"/>
              <w:bottom w:w="80" w:type="dxa"/>
              <w:right w:w="120" w:type="dxa"/>
            </w:tcMar>
            <w:vAlign w:val="center"/>
          </w:tcPr>
          <w:p w14:paraId="69948DA6" w14:textId="77777777" w:rsidR="00F52ED5" w:rsidRDefault="001541F8">
            <w:pPr>
              <w:jc w:val="center"/>
            </w:pPr>
            <w:r>
              <w:rPr>
                <w:color w:val="000000"/>
                <w:sz w:val="18"/>
                <w:szCs w:val="18"/>
              </w:rPr>
              <w:t>En ejecución</w:t>
            </w:r>
          </w:p>
        </w:tc>
      </w:tr>
      <w:tr w:rsidR="00F52ED5" w14:paraId="69948DAB" w14:textId="77777777">
        <w:tc>
          <w:tcPr>
            <w:tcW w:w="3200" w:type="dxa"/>
            <w:tcBorders>
              <w:top w:val="single" w:sz="4" w:space="0" w:color="BBBBBB"/>
              <w:left w:val="single" w:sz="4" w:space="0" w:color="BBBBBB"/>
              <w:bottom w:val="single" w:sz="4" w:space="0" w:color="BBBBBB"/>
              <w:right w:val="single" w:sz="4" w:space="0" w:color="BBBBBB"/>
            </w:tcBorders>
            <w:shd w:val="clear" w:color="auto" w:fill="FFFFFF"/>
            <w:tcMar>
              <w:top w:w="80" w:type="dxa"/>
              <w:left w:w="120" w:type="dxa"/>
              <w:bottom w:w="80" w:type="dxa"/>
              <w:right w:w="120" w:type="dxa"/>
            </w:tcMar>
            <w:vAlign w:val="center"/>
          </w:tcPr>
          <w:p w14:paraId="69948DA8" w14:textId="77777777" w:rsidR="00F52ED5" w:rsidRDefault="001541F8">
            <w:r>
              <w:rPr>
                <w:b/>
                <w:bCs/>
                <w:color w:val="000000"/>
                <w:sz w:val="18"/>
                <w:szCs w:val="18"/>
              </w:rPr>
              <w:t>Talleres de capacitación técnica con enfoque de género</w:t>
            </w:r>
          </w:p>
        </w:tc>
        <w:tc>
          <w:tcPr>
            <w:tcW w:w="3200" w:type="dxa"/>
            <w:tcBorders>
              <w:top w:val="single" w:sz="4" w:space="0" w:color="BBBBBB"/>
              <w:left w:val="single" w:sz="4" w:space="0" w:color="BBBBBB"/>
              <w:bottom w:val="single" w:sz="4" w:space="0" w:color="BBBBBB"/>
              <w:right w:val="single" w:sz="4" w:space="0" w:color="BBBBBB"/>
            </w:tcBorders>
            <w:shd w:val="clear" w:color="auto" w:fill="FFFFFF"/>
            <w:tcMar>
              <w:top w:w="80" w:type="dxa"/>
              <w:left w:w="120" w:type="dxa"/>
              <w:bottom w:w="80" w:type="dxa"/>
              <w:right w:w="120" w:type="dxa"/>
            </w:tcMar>
            <w:vAlign w:val="center"/>
          </w:tcPr>
          <w:p w14:paraId="69948DA9" w14:textId="77777777" w:rsidR="00F52ED5" w:rsidRDefault="001541F8">
            <w:r>
              <w:rPr>
                <w:color w:val="000000"/>
                <w:sz w:val="18"/>
                <w:szCs w:val="18"/>
              </w:rPr>
              <w:t>Institución educativa contratada (dic. 2025); talleres en desarrollo</w:t>
            </w:r>
          </w:p>
        </w:tc>
        <w:tc>
          <w:tcPr>
            <w:tcW w:w="2480" w:type="dxa"/>
            <w:tcBorders>
              <w:top w:val="single" w:sz="4" w:space="0" w:color="BBBBBB"/>
              <w:left w:val="single" w:sz="4" w:space="0" w:color="BBBBBB"/>
              <w:bottom w:val="single" w:sz="4" w:space="0" w:color="BBBBBB"/>
              <w:right w:val="single" w:sz="4" w:space="0" w:color="BBBBBB"/>
            </w:tcBorders>
            <w:shd w:val="clear" w:color="auto" w:fill="FFFFFF"/>
            <w:tcMar>
              <w:top w:w="80" w:type="dxa"/>
              <w:left w:w="120" w:type="dxa"/>
              <w:bottom w:w="80" w:type="dxa"/>
              <w:right w:w="120" w:type="dxa"/>
            </w:tcMar>
            <w:vAlign w:val="center"/>
          </w:tcPr>
          <w:p w14:paraId="69948DAA" w14:textId="77777777" w:rsidR="00F52ED5" w:rsidRDefault="001541F8">
            <w:pPr>
              <w:jc w:val="center"/>
            </w:pPr>
            <w:r>
              <w:rPr>
                <w:color w:val="000000"/>
                <w:sz w:val="18"/>
                <w:szCs w:val="18"/>
              </w:rPr>
              <w:t>En ejecución</w:t>
            </w:r>
          </w:p>
        </w:tc>
      </w:tr>
    </w:tbl>
    <w:p w14:paraId="69948DAC" w14:textId="77777777" w:rsidR="00F52ED5" w:rsidRDefault="00F52ED5">
      <w:pPr>
        <w:spacing w:after="120"/>
      </w:pPr>
    </w:p>
    <w:p w14:paraId="69948DAD" w14:textId="77777777" w:rsidR="00F52ED5" w:rsidRDefault="001541F8">
      <w:pPr>
        <w:pStyle w:val="Ttulo2"/>
      </w:pPr>
      <w:r>
        <w:t>3.1 Unidad Móvil de Asistencia Técnica para Corpoguajira</w:t>
      </w:r>
    </w:p>
    <w:p w14:paraId="69948DAE" w14:textId="77777777" w:rsidR="00F52ED5" w:rsidRDefault="001541F8">
      <w:pPr>
        <w:spacing w:before="80" w:after="80" w:line="276" w:lineRule="auto"/>
        <w:jc w:val="both"/>
      </w:pPr>
      <w:r>
        <w:rPr>
          <w:color w:val="000000"/>
        </w:rPr>
        <w:t>La Unidad Móvil fue diseñada para que Corpoguajira pueda realizar la toma de muestras de calidad del agua en todo el departamento. El vehículo, dotado con equipos de laboratorio, fue entregado formalmente a Corpoguajira el 22 de mayo de 2026, constituyendo uno de los hitos de cierre del Componente 2 del Programa. Esta actividad complementa el mejoramiento del laboratorio ambiental de la entidad y fortalece la capacidad de monitoreo ambiental hídrico en el departamento.</w:t>
      </w:r>
    </w:p>
    <w:p w14:paraId="69948DB0" w14:textId="77777777" w:rsidR="00F52ED5" w:rsidRDefault="001541F8">
      <w:pPr>
        <w:pStyle w:val="Ttulo2"/>
      </w:pPr>
      <w:r>
        <w:t>3.2 Mejoramiento del Laboratorio Ambiental de Corpoguajira</w:t>
      </w:r>
    </w:p>
    <w:p w14:paraId="69948DB1" w14:textId="77777777" w:rsidR="00F52ED5" w:rsidRDefault="001541F8">
      <w:pPr>
        <w:spacing w:before="80" w:after="80" w:line="276" w:lineRule="auto"/>
        <w:jc w:val="both"/>
      </w:pPr>
      <w:r>
        <w:rPr>
          <w:color w:val="000000"/>
        </w:rPr>
        <w:t>Los diseños de remodelación del laboratorio fueron contratados en septiembre de 2025 con un arquitecto consultor individual. La obra civil de adecuación y la compra de equipos para ampliar la capacidad de medición de parámetros de calidad del agua están en fase de alistamiento, con ejecución proyectada en 2026.</w:t>
      </w:r>
    </w:p>
    <w:p w14:paraId="69948DB3" w14:textId="77777777" w:rsidR="00F52ED5" w:rsidRDefault="001541F8">
      <w:pPr>
        <w:pStyle w:val="Ttulo2"/>
      </w:pPr>
      <w:r>
        <w:t>3.3 Planes de Comunicación</w:t>
      </w:r>
    </w:p>
    <w:p w14:paraId="69948DB4" w14:textId="77777777" w:rsidR="00F52ED5" w:rsidRDefault="001541F8">
      <w:pPr>
        <w:spacing w:before="80" w:after="80" w:line="276" w:lineRule="auto"/>
        <w:jc w:val="both"/>
      </w:pPr>
      <w:r>
        <w:rPr>
          <w:color w:val="000000"/>
        </w:rPr>
        <w:t>Se contrató la Fase 3 del Plan de Comunicaciones para el municipio de Riohacha (noviembre de 2025), orientada a la divulgación de resultados del Programa y la socialización de impactos comunitarios. Para los municipios de Fonseca y Urumita, el proceso de contratación de la Fase 3 se encuentra en alistamiento.</w:t>
      </w:r>
    </w:p>
    <w:p w14:paraId="69948DB6" w14:textId="77777777" w:rsidR="00F52ED5" w:rsidRDefault="001541F8">
      <w:pPr>
        <w:pStyle w:val="Ttulo2"/>
      </w:pPr>
      <w:r>
        <w:t>3.4 Talleres de Capacitación Técnica con Enfoque de Género</w:t>
      </w:r>
    </w:p>
    <w:p w14:paraId="69948DB8" w14:textId="692B00B6" w:rsidR="00F52ED5" w:rsidRDefault="001541F8" w:rsidP="00D40ECF">
      <w:pPr>
        <w:spacing w:before="80" w:after="80" w:line="276" w:lineRule="auto"/>
        <w:jc w:val="both"/>
        <w:rPr>
          <w:color w:val="000000"/>
        </w:rPr>
      </w:pPr>
      <w:r>
        <w:rPr>
          <w:color w:val="000000"/>
        </w:rPr>
        <w:t>Una institución educativa fue contratada en diciembre de 2025 para la realización de talleres de capacitación técnica con enfoque de género en los municipios de intervención del Programa. Los talleres se encuentran en desarrollo y buscan fortalecer las capacidades locales en operación y mantenimiento de sistemas de agua y saneamiento, con perspectiva de equidad.</w:t>
      </w:r>
    </w:p>
    <w:p w14:paraId="78840AF4" w14:textId="77777777" w:rsidR="00475CF8" w:rsidRDefault="00475CF8" w:rsidP="00D40ECF">
      <w:pPr>
        <w:spacing w:before="80" w:after="80" w:line="276" w:lineRule="auto"/>
        <w:jc w:val="both"/>
      </w:pPr>
    </w:p>
    <w:p w14:paraId="69948DB9" w14:textId="77777777" w:rsidR="00F52ED5" w:rsidRDefault="001541F8">
      <w:pPr>
        <w:pStyle w:val="Ttulo1"/>
      </w:pPr>
      <w:r>
        <w:lastRenderedPageBreak/>
        <w:t>4. Gestión Financiera del Programa</w:t>
      </w:r>
    </w:p>
    <w:p w14:paraId="69948DBA" w14:textId="37F47FE5" w:rsidR="00F52ED5" w:rsidRDefault="001541F8">
      <w:pPr>
        <w:pStyle w:val="Ttulo2"/>
      </w:pPr>
      <w:r>
        <w:t>4.1 Ejecución financiera acumulada (</w:t>
      </w:r>
      <w:r w:rsidR="00F92E17">
        <w:t>hasta</w:t>
      </w:r>
      <w:r>
        <w:t xml:space="preserve"> junio 2026)</w:t>
      </w:r>
    </w:p>
    <w:p w14:paraId="69948DBB" w14:textId="1AC330F3" w:rsidR="00F52ED5" w:rsidRDefault="001541F8">
      <w:pPr>
        <w:spacing w:before="80" w:after="80" w:line="276" w:lineRule="auto"/>
        <w:jc w:val="both"/>
      </w:pPr>
      <w:r>
        <w:rPr>
          <w:color w:val="000000"/>
        </w:rPr>
        <w:t xml:space="preserve">La ejecución financiera del Programa durante el período </w:t>
      </w:r>
      <w:r w:rsidR="00F92E17">
        <w:rPr>
          <w:color w:val="000000"/>
        </w:rPr>
        <w:t>del Programa</w:t>
      </w:r>
      <w:r>
        <w:rPr>
          <w:color w:val="000000"/>
        </w:rPr>
        <w:t xml:space="preserve"> presentó un ritmo progresivamente ascendente, con los mayores niveles de giro registrados en 2025 y el primer semestre de 2026. Al cierre del período de gobierno, la ejecución acumulada del Préstamo BID 5193 alcanza $136.091,2 M, equivalente al 74,9% del total disponible, con un saldo en la cuenta especial del Banco de la República y en la Fiducia del Programa que garantiza el flujo de caja necesario para concluir las obras.</w:t>
      </w:r>
    </w:p>
    <w:p w14:paraId="69948DBD" w14:textId="77777777" w:rsidR="00F52ED5" w:rsidRDefault="001541F8">
      <w:pPr>
        <w:pStyle w:val="Ttulo2"/>
      </w:pPr>
      <w:r>
        <w:t>4.2 Giros a la Fiducia por año — Préstamo BID 5193</w:t>
      </w:r>
    </w:p>
    <w:tbl>
      <w:tblPr>
        <w:tblW w:w="88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1600"/>
        <w:gridCol w:w="2640"/>
        <w:gridCol w:w="2640"/>
        <w:gridCol w:w="2000"/>
      </w:tblGrid>
      <w:tr w:rsidR="00F52ED5" w14:paraId="69948DC2" w14:textId="77777777">
        <w:trPr>
          <w:tblHeader/>
        </w:trPr>
        <w:tc>
          <w:tcPr>
            <w:tcW w:w="1600" w:type="dxa"/>
            <w:tcBorders>
              <w:top w:val="single" w:sz="4" w:space="0" w:color="BBBBBB"/>
              <w:left w:val="single" w:sz="4" w:space="0" w:color="BBBBBB"/>
              <w:bottom w:val="single" w:sz="4" w:space="0" w:color="BBBBBB"/>
              <w:right w:val="single" w:sz="4" w:space="0" w:color="BBBBBB"/>
            </w:tcBorders>
            <w:shd w:val="clear" w:color="auto" w:fill="2E75B6"/>
            <w:tcMar>
              <w:top w:w="80" w:type="dxa"/>
              <w:left w:w="120" w:type="dxa"/>
              <w:bottom w:w="80" w:type="dxa"/>
              <w:right w:w="120" w:type="dxa"/>
            </w:tcMar>
            <w:vAlign w:val="center"/>
          </w:tcPr>
          <w:p w14:paraId="69948DBE" w14:textId="77777777" w:rsidR="00F52ED5" w:rsidRDefault="001541F8">
            <w:pPr>
              <w:jc w:val="center"/>
            </w:pPr>
            <w:r>
              <w:rPr>
                <w:b/>
                <w:bCs/>
                <w:color w:val="FFFFFF"/>
                <w:sz w:val="18"/>
                <w:szCs w:val="18"/>
              </w:rPr>
              <w:t>Año</w:t>
            </w:r>
          </w:p>
        </w:tc>
        <w:tc>
          <w:tcPr>
            <w:tcW w:w="2640" w:type="dxa"/>
            <w:tcBorders>
              <w:top w:val="single" w:sz="4" w:space="0" w:color="BBBBBB"/>
              <w:left w:val="single" w:sz="4" w:space="0" w:color="BBBBBB"/>
              <w:bottom w:val="single" w:sz="4" w:space="0" w:color="BBBBBB"/>
              <w:right w:val="single" w:sz="4" w:space="0" w:color="BBBBBB"/>
            </w:tcBorders>
            <w:shd w:val="clear" w:color="auto" w:fill="2E75B6"/>
            <w:tcMar>
              <w:top w:w="80" w:type="dxa"/>
              <w:left w:w="120" w:type="dxa"/>
              <w:bottom w:w="80" w:type="dxa"/>
              <w:right w:w="120" w:type="dxa"/>
            </w:tcMar>
            <w:vAlign w:val="center"/>
          </w:tcPr>
          <w:p w14:paraId="69948DBF" w14:textId="77777777" w:rsidR="00F52ED5" w:rsidRDefault="001541F8">
            <w:pPr>
              <w:jc w:val="center"/>
            </w:pPr>
            <w:r>
              <w:rPr>
                <w:b/>
                <w:bCs/>
                <w:color w:val="FFFFFF"/>
                <w:sz w:val="18"/>
                <w:szCs w:val="18"/>
              </w:rPr>
              <w:t>Valor girado a Fiducia</w:t>
            </w:r>
          </w:p>
        </w:tc>
        <w:tc>
          <w:tcPr>
            <w:tcW w:w="2640" w:type="dxa"/>
            <w:tcBorders>
              <w:top w:val="single" w:sz="4" w:space="0" w:color="BBBBBB"/>
              <w:left w:val="single" w:sz="4" w:space="0" w:color="BBBBBB"/>
              <w:bottom w:val="single" w:sz="4" w:space="0" w:color="BBBBBB"/>
              <w:right w:val="single" w:sz="4" w:space="0" w:color="BBBBBB"/>
            </w:tcBorders>
            <w:shd w:val="clear" w:color="auto" w:fill="2E75B6"/>
            <w:tcMar>
              <w:top w:w="80" w:type="dxa"/>
              <w:left w:w="120" w:type="dxa"/>
              <w:bottom w:w="80" w:type="dxa"/>
              <w:right w:w="120" w:type="dxa"/>
            </w:tcMar>
            <w:vAlign w:val="center"/>
          </w:tcPr>
          <w:p w14:paraId="69948DC0" w14:textId="77777777" w:rsidR="00F52ED5" w:rsidRDefault="001541F8">
            <w:pPr>
              <w:jc w:val="center"/>
            </w:pPr>
            <w:r>
              <w:rPr>
                <w:b/>
                <w:bCs/>
                <w:color w:val="FFFFFF"/>
                <w:sz w:val="18"/>
                <w:szCs w:val="18"/>
              </w:rPr>
              <w:t>Concepto principal</w:t>
            </w:r>
          </w:p>
        </w:tc>
        <w:tc>
          <w:tcPr>
            <w:tcW w:w="2000" w:type="dxa"/>
            <w:tcBorders>
              <w:top w:val="single" w:sz="4" w:space="0" w:color="BBBBBB"/>
              <w:left w:val="single" w:sz="4" w:space="0" w:color="BBBBBB"/>
              <w:bottom w:val="single" w:sz="4" w:space="0" w:color="BBBBBB"/>
              <w:right w:val="single" w:sz="4" w:space="0" w:color="BBBBBB"/>
            </w:tcBorders>
            <w:shd w:val="clear" w:color="auto" w:fill="2E75B6"/>
            <w:tcMar>
              <w:top w:w="80" w:type="dxa"/>
              <w:left w:w="120" w:type="dxa"/>
              <w:bottom w:w="80" w:type="dxa"/>
              <w:right w:w="120" w:type="dxa"/>
            </w:tcMar>
            <w:vAlign w:val="center"/>
          </w:tcPr>
          <w:p w14:paraId="69948DC1" w14:textId="77777777" w:rsidR="00F52ED5" w:rsidRDefault="001541F8">
            <w:pPr>
              <w:jc w:val="center"/>
            </w:pPr>
            <w:r>
              <w:rPr>
                <w:b/>
                <w:bCs/>
                <w:color w:val="FFFFFF"/>
                <w:sz w:val="18"/>
                <w:szCs w:val="18"/>
              </w:rPr>
              <w:t>Contexto</w:t>
            </w:r>
          </w:p>
        </w:tc>
      </w:tr>
      <w:tr w:rsidR="00F52ED5" w14:paraId="69948DC7" w14:textId="77777777">
        <w:tc>
          <w:tcPr>
            <w:tcW w:w="1600" w:type="dxa"/>
            <w:tcBorders>
              <w:top w:val="single" w:sz="4" w:space="0" w:color="BBBBBB"/>
              <w:left w:val="single" w:sz="4" w:space="0" w:color="BBBBBB"/>
              <w:bottom w:val="single" w:sz="4" w:space="0" w:color="BBBBBB"/>
              <w:right w:val="single" w:sz="4" w:space="0" w:color="BBBBBB"/>
            </w:tcBorders>
            <w:shd w:val="clear" w:color="auto" w:fill="FFFFFF"/>
            <w:tcMar>
              <w:top w:w="80" w:type="dxa"/>
              <w:left w:w="120" w:type="dxa"/>
              <w:bottom w:w="80" w:type="dxa"/>
              <w:right w:w="120" w:type="dxa"/>
            </w:tcMar>
            <w:vAlign w:val="center"/>
          </w:tcPr>
          <w:p w14:paraId="69948DC3" w14:textId="77777777" w:rsidR="00F52ED5" w:rsidRDefault="001541F8">
            <w:pPr>
              <w:jc w:val="center"/>
            </w:pPr>
            <w:r>
              <w:rPr>
                <w:b/>
                <w:bCs/>
                <w:color w:val="000000"/>
                <w:sz w:val="18"/>
                <w:szCs w:val="18"/>
              </w:rPr>
              <w:t>2022</w:t>
            </w:r>
          </w:p>
        </w:tc>
        <w:tc>
          <w:tcPr>
            <w:tcW w:w="2640" w:type="dxa"/>
            <w:tcBorders>
              <w:top w:val="single" w:sz="4" w:space="0" w:color="BBBBBB"/>
              <w:left w:val="single" w:sz="4" w:space="0" w:color="BBBBBB"/>
              <w:bottom w:val="single" w:sz="4" w:space="0" w:color="BBBBBB"/>
              <w:right w:val="single" w:sz="4" w:space="0" w:color="BBBBBB"/>
            </w:tcBorders>
            <w:shd w:val="clear" w:color="auto" w:fill="FFFFFF"/>
            <w:tcMar>
              <w:top w:w="80" w:type="dxa"/>
              <w:left w:w="120" w:type="dxa"/>
              <w:bottom w:w="80" w:type="dxa"/>
              <w:right w:w="120" w:type="dxa"/>
            </w:tcMar>
            <w:vAlign w:val="center"/>
          </w:tcPr>
          <w:p w14:paraId="69948DC4" w14:textId="77777777" w:rsidR="00F52ED5" w:rsidRDefault="001541F8">
            <w:pPr>
              <w:jc w:val="center"/>
            </w:pPr>
            <w:r>
              <w:rPr>
                <w:color w:val="000000"/>
                <w:sz w:val="18"/>
                <w:szCs w:val="18"/>
              </w:rPr>
              <w:t>$21.447.656.546</w:t>
            </w:r>
          </w:p>
        </w:tc>
        <w:tc>
          <w:tcPr>
            <w:tcW w:w="2640" w:type="dxa"/>
            <w:tcBorders>
              <w:top w:val="single" w:sz="4" w:space="0" w:color="BBBBBB"/>
              <w:left w:val="single" w:sz="4" w:space="0" w:color="BBBBBB"/>
              <w:bottom w:val="single" w:sz="4" w:space="0" w:color="BBBBBB"/>
              <w:right w:val="single" w:sz="4" w:space="0" w:color="BBBBBB"/>
            </w:tcBorders>
            <w:shd w:val="clear" w:color="auto" w:fill="FFFFFF"/>
            <w:tcMar>
              <w:top w:w="80" w:type="dxa"/>
              <w:left w:w="120" w:type="dxa"/>
              <w:bottom w:w="80" w:type="dxa"/>
              <w:right w:w="120" w:type="dxa"/>
            </w:tcMar>
            <w:vAlign w:val="center"/>
          </w:tcPr>
          <w:p w14:paraId="69948DC5" w14:textId="77777777" w:rsidR="00F52ED5" w:rsidRDefault="001541F8">
            <w:r>
              <w:rPr>
                <w:color w:val="000000"/>
                <w:sz w:val="18"/>
                <w:szCs w:val="18"/>
              </w:rPr>
              <w:t>Anticipo obras (Riohacha, Fonseca)</w:t>
            </w:r>
          </w:p>
        </w:tc>
        <w:tc>
          <w:tcPr>
            <w:tcW w:w="2000" w:type="dxa"/>
            <w:tcBorders>
              <w:top w:val="single" w:sz="4" w:space="0" w:color="BBBBBB"/>
              <w:left w:val="single" w:sz="4" w:space="0" w:color="BBBBBB"/>
              <w:bottom w:val="single" w:sz="4" w:space="0" w:color="BBBBBB"/>
              <w:right w:val="single" w:sz="4" w:space="0" w:color="BBBBBB"/>
            </w:tcBorders>
            <w:shd w:val="clear" w:color="auto" w:fill="FFFFFF"/>
            <w:tcMar>
              <w:top w:w="80" w:type="dxa"/>
              <w:left w:w="120" w:type="dxa"/>
              <w:bottom w:w="80" w:type="dxa"/>
              <w:right w:w="120" w:type="dxa"/>
            </w:tcMar>
            <w:vAlign w:val="center"/>
          </w:tcPr>
          <w:p w14:paraId="69948DC6" w14:textId="77777777" w:rsidR="00F52ED5" w:rsidRDefault="001541F8">
            <w:r>
              <w:rPr>
                <w:color w:val="000000"/>
                <w:sz w:val="18"/>
                <w:szCs w:val="18"/>
              </w:rPr>
              <w:t>Inicio ejecución</w:t>
            </w:r>
          </w:p>
        </w:tc>
      </w:tr>
      <w:tr w:rsidR="00F52ED5" w14:paraId="69948DCC" w14:textId="77777777">
        <w:tc>
          <w:tcPr>
            <w:tcW w:w="1600" w:type="dxa"/>
            <w:tcBorders>
              <w:top w:val="single" w:sz="4" w:space="0" w:color="BBBBBB"/>
              <w:left w:val="single" w:sz="4" w:space="0" w:color="BBBBBB"/>
              <w:bottom w:val="single" w:sz="4" w:space="0" w:color="BBBBBB"/>
              <w:right w:val="single" w:sz="4" w:space="0" w:color="BBBBBB"/>
            </w:tcBorders>
            <w:shd w:val="clear" w:color="auto" w:fill="F2F2F2"/>
            <w:tcMar>
              <w:top w:w="80" w:type="dxa"/>
              <w:left w:w="120" w:type="dxa"/>
              <w:bottom w:w="80" w:type="dxa"/>
              <w:right w:w="120" w:type="dxa"/>
            </w:tcMar>
            <w:vAlign w:val="center"/>
          </w:tcPr>
          <w:p w14:paraId="69948DC8" w14:textId="77777777" w:rsidR="00F52ED5" w:rsidRDefault="001541F8">
            <w:pPr>
              <w:jc w:val="center"/>
            </w:pPr>
            <w:r>
              <w:rPr>
                <w:b/>
                <w:bCs/>
                <w:color w:val="000000"/>
                <w:sz w:val="18"/>
                <w:szCs w:val="18"/>
              </w:rPr>
              <w:t>2023</w:t>
            </w:r>
          </w:p>
        </w:tc>
        <w:tc>
          <w:tcPr>
            <w:tcW w:w="2640" w:type="dxa"/>
            <w:tcBorders>
              <w:top w:val="single" w:sz="4" w:space="0" w:color="BBBBBB"/>
              <w:left w:val="single" w:sz="4" w:space="0" w:color="BBBBBB"/>
              <w:bottom w:val="single" w:sz="4" w:space="0" w:color="BBBBBB"/>
              <w:right w:val="single" w:sz="4" w:space="0" w:color="BBBBBB"/>
            </w:tcBorders>
            <w:shd w:val="clear" w:color="auto" w:fill="F2F2F2"/>
            <w:tcMar>
              <w:top w:w="80" w:type="dxa"/>
              <w:left w:w="120" w:type="dxa"/>
              <w:bottom w:w="80" w:type="dxa"/>
              <w:right w:w="120" w:type="dxa"/>
            </w:tcMar>
            <w:vAlign w:val="center"/>
          </w:tcPr>
          <w:p w14:paraId="69948DC9" w14:textId="77777777" w:rsidR="00F52ED5" w:rsidRDefault="001541F8">
            <w:pPr>
              <w:jc w:val="center"/>
            </w:pPr>
            <w:r>
              <w:rPr>
                <w:color w:val="000000"/>
                <w:sz w:val="18"/>
                <w:szCs w:val="18"/>
              </w:rPr>
              <w:t>$52.084.732.292</w:t>
            </w:r>
          </w:p>
        </w:tc>
        <w:tc>
          <w:tcPr>
            <w:tcW w:w="2640" w:type="dxa"/>
            <w:tcBorders>
              <w:top w:val="single" w:sz="4" w:space="0" w:color="BBBBBB"/>
              <w:left w:val="single" w:sz="4" w:space="0" w:color="BBBBBB"/>
              <w:bottom w:val="single" w:sz="4" w:space="0" w:color="BBBBBB"/>
              <w:right w:val="single" w:sz="4" w:space="0" w:color="BBBBBB"/>
            </w:tcBorders>
            <w:shd w:val="clear" w:color="auto" w:fill="F2F2F2"/>
            <w:tcMar>
              <w:top w:w="80" w:type="dxa"/>
              <w:left w:w="120" w:type="dxa"/>
              <w:bottom w:w="80" w:type="dxa"/>
              <w:right w:w="120" w:type="dxa"/>
            </w:tcMar>
            <w:vAlign w:val="center"/>
          </w:tcPr>
          <w:p w14:paraId="69948DCA" w14:textId="77777777" w:rsidR="00F52ED5" w:rsidRDefault="001541F8">
            <w:r>
              <w:rPr>
                <w:color w:val="000000"/>
                <w:sz w:val="18"/>
                <w:szCs w:val="18"/>
              </w:rPr>
              <w:t>Avance obras cuatro proyectos + contratos GIP</w:t>
            </w:r>
          </w:p>
        </w:tc>
        <w:tc>
          <w:tcPr>
            <w:tcW w:w="2000" w:type="dxa"/>
            <w:tcBorders>
              <w:top w:val="single" w:sz="4" w:space="0" w:color="BBBBBB"/>
              <w:left w:val="single" w:sz="4" w:space="0" w:color="BBBBBB"/>
              <w:bottom w:val="single" w:sz="4" w:space="0" w:color="BBBBBB"/>
              <w:right w:val="single" w:sz="4" w:space="0" w:color="BBBBBB"/>
            </w:tcBorders>
            <w:shd w:val="clear" w:color="auto" w:fill="F2F2F2"/>
            <w:tcMar>
              <w:top w:w="80" w:type="dxa"/>
              <w:left w:w="120" w:type="dxa"/>
              <w:bottom w:w="80" w:type="dxa"/>
              <w:right w:w="120" w:type="dxa"/>
            </w:tcMar>
            <w:vAlign w:val="center"/>
          </w:tcPr>
          <w:p w14:paraId="69948DCB" w14:textId="77777777" w:rsidR="00F52ED5" w:rsidRDefault="001541F8">
            <w:r>
              <w:rPr>
                <w:color w:val="000000"/>
                <w:sz w:val="18"/>
                <w:szCs w:val="18"/>
              </w:rPr>
              <w:t>Alto ritmo contractual</w:t>
            </w:r>
          </w:p>
        </w:tc>
      </w:tr>
      <w:tr w:rsidR="00F52ED5" w14:paraId="69948DD1" w14:textId="77777777">
        <w:tc>
          <w:tcPr>
            <w:tcW w:w="1600" w:type="dxa"/>
            <w:tcBorders>
              <w:top w:val="single" w:sz="4" w:space="0" w:color="BBBBBB"/>
              <w:left w:val="single" w:sz="4" w:space="0" w:color="BBBBBB"/>
              <w:bottom w:val="single" w:sz="4" w:space="0" w:color="BBBBBB"/>
              <w:right w:val="single" w:sz="4" w:space="0" w:color="BBBBBB"/>
            </w:tcBorders>
            <w:shd w:val="clear" w:color="auto" w:fill="FFFFFF"/>
            <w:tcMar>
              <w:top w:w="80" w:type="dxa"/>
              <w:left w:w="120" w:type="dxa"/>
              <w:bottom w:w="80" w:type="dxa"/>
              <w:right w:w="120" w:type="dxa"/>
            </w:tcMar>
            <w:vAlign w:val="center"/>
          </w:tcPr>
          <w:p w14:paraId="69948DCD" w14:textId="77777777" w:rsidR="00F52ED5" w:rsidRDefault="001541F8">
            <w:pPr>
              <w:jc w:val="center"/>
            </w:pPr>
            <w:r>
              <w:rPr>
                <w:b/>
                <w:bCs/>
                <w:color w:val="000000"/>
                <w:sz w:val="18"/>
                <w:szCs w:val="18"/>
              </w:rPr>
              <w:t>2024</w:t>
            </w:r>
          </w:p>
        </w:tc>
        <w:tc>
          <w:tcPr>
            <w:tcW w:w="2640" w:type="dxa"/>
            <w:tcBorders>
              <w:top w:val="single" w:sz="4" w:space="0" w:color="BBBBBB"/>
              <w:left w:val="single" w:sz="4" w:space="0" w:color="BBBBBB"/>
              <w:bottom w:val="single" w:sz="4" w:space="0" w:color="BBBBBB"/>
              <w:right w:val="single" w:sz="4" w:space="0" w:color="BBBBBB"/>
            </w:tcBorders>
            <w:shd w:val="clear" w:color="auto" w:fill="FFFFFF"/>
            <w:tcMar>
              <w:top w:w="80" w:type="dxa"/>
              <w:left w:w="120" w:type="dxa"/>
              <w:bottom w:w="80" w:type="dxa"/>
              <w:right w:w="120" w:type="dxa"/>
            </w:tcMar>
            <w:vAlign w:val="center"/>
          </w:tcPr>
          <w:p w14:paraId="69948DCE" w14:textId="77777777" w:rsidR="00F52ED5" w:rsidRDefault="001541F8">
            <w:pPr>
              <w:jc w:val="center"/>
            </w:pPr>
            <w:r>
              <w:rPr>
                <w:color w:val="000000"/>
                <w:sz w:val="18"/>
                <w:szCs w:val="18"/>
              </w:rPr>
              <w:t>$3.000.000.000</w:t>
            </w:r>
          </w:p>
        </w:tc>
        <w:tc>
          <w:tcPr>
            <w:tcW w:w="2640" w:type="dxa"/>
            <w:tcBorders>
              <w:top w:val="single" w:sz="4" w:space="0" w:color="BBBBBB"/>
              <w:left w:val="single" w:sz="4" w:space="0" w:color="BBBBBB"/>
              <w:bottom w:val="single" w:sz="4" w:space="0" w:color="BBBBBB"/>
              <w:right w:val="single" w:sz="4" w:space="0" w:color="BBBBBB"/>
            </w:tcBorders>
            <w:shd w:val="clear" w:color="auto" w:fill="FFFFFF"/>
            <w:tcMar>
              <w:top w:w="80" w:type="dxa"/>
              <w:left w:w="120" w:type="dxa"/>
              <w:bottom w:w="80" w:type="dxa"/>
              <w:right w:w="120" w:type="dxa"/>
            </w:tcMar>
            <w:vAlign w:val="center"/>
          </w:tcPr>
          <w:p w14:paraId="69948DCF" w14:textId="77777777" w:rsidR="00F52ED5" w:rsidRDefault="001541F8">
            <w:r>
              <w:rPr>
                <w:color w:val="000000"/>
                <w:sz w:val="18"/>
                <w:szCs w:val="18"/>
              </w:rPr>
              <w:t>Refuerzo obras + interventorías</w:t>
            </w:r>
          </w:p>
        </w:tc>
        <w:tc>
          <w:tcPr>
            <w:tcW w:w="2000" w:type="dxa"/>
            <w:tcBorders>
              <w:top w:val="single" w:sz="4" w:space="0" w:color="BBBBBB"/>
              <w:left w:val="single" w:sz="4" w:space="0" w:color="BBBBBB"/>
              <w:bottom w:val="single" w:sz="4" w:space="0" w:color="BBBBBB"/>
              <w:right w:val="single" w:sz="4" w:space="0" w:color="BBBBBB"/>
            </w:tcBorders>
            <w:shd w:val="clear" w:color="auto" w:fill="FFFFFF"/>
            <w:tcMar>
              <w:top w:w="80" w:type="dxa"/>
              <w:left w:w="120" w:type="dxa"/>
              <w:bottom w:w="80" w:type="dxa"/>
              <w:right w:w="120" w:type="dxa"/>
            </w:tcMar>
            <w:vAlign w:val="center"/>
          </w:tcPr>
          <w:p w14:paraId="69948DD0" w14:textId="77777777" w:rsidR="00F52ED5" w:rsidRDefault="001541F8">
            <w:r>
              <w:rPr>
                <w:color w:val="000000"/>
                <w:sz w:val="18"/>
                <w:szCs w:val="18"/>
              </w:rPr>
              <w:t>Año de consolidación</w:t>
            </w:r>
          </w:p>
        </w:tc>
      </w:tr>
      <w:tr w:rsidR="00F52ED5" w14:paraId="69948DD6" w14:textId="77777777">
        <w:tc>
          <w:tcPr>
            <w:tcW w:w="1600" w:type="dxa"/>
            <w:tcBorders>
              <w:top w:val="single" w:sz="4" w:space="0" w:color="BBBBBB"/>
              <w:left w:val="single" w:sz="4" w:space="0" w:color="BBBBBB"/>
              <w:bottom w:val="single" w:sz="4" w:space="0" w:color="BBBBBB"/>
              <w:right w:val="single" w:sz="4" w:space="0" w:color="BBBBBB"/>
            </w:tcBorders>
            <w:shd w:val="clear" w:color="auto" w:fill="F2F2F2"/>
            <w:tcMar>
              <w:top w:w="80" w:type="dxa"/>
              <w:left w:w="120" w:type="dxa"/>
              <w:bottom w:w="80" w:type="dxa"/>
              <w:right w:w="120" w:type="dxa"/>
            </w:tcMar>
            <w:vAlign w:val="center"/>
          </w:tcPr>
          <w:p w14:paraId="69948DD2" w14:textId="77777777" w:rsidR="00F52ED5" w:rsidRDefault="001541F8">
            <w:pPr>
              <w:jc w:val="center"/>
            </w:pPr>
            <w:r>
              <w:rPr>
                <w:b/>
                <w:bCs/>
                <w:color w:val="000000"/>
                <w:sz w:val="18"/>
                <w:szCs w:val="18"/>
              </w:rPr>
              <w:t>2025</w:t>
            </w:r>
          </w:p>
        </w:tc>
        <w:tc>
          <w:tcPr>
            <w:tcW w:w="2640" w:type="dxa"/>
            <w:tcBorders>
              <w:top w:val="single" w:sz="4" w:space="0" w:color="BBBBBB"/>
              <w:left w:val="single" w:sz="4" w:space="0" w:color="BBBBBB"/>
              <w:bottom w:val="single" w:sz="4" w:space="0" w:color="BBBBBB"/>
              <w:right w:val="single" w:sz="4" w:space="0" w:color="BBBBBB"/>
            </w:tcBorders>
            <w:shd w:val="clear" w:color="auto" w:fill="F2F2F2"/>
            <w:tcMar>
              <w:top w:w="80" w:type="dxa"/>
              <w:left w:w="120" w:type="dxa"/>
              <w:bottom w:w="80" w:type="dxa"/>
              <w:right w:w="120" w:type="dxa"/>
            </w:tcMar>
            <w:vAlign w:val="center"/>
          </w:tcPr>
          <w:p w14:paraId="69948DD3" w14:textId="77777777" w:rsidR="00F52ED5" w:rsidRDefault="001541F8">
            <w:pPr>
              <w:jc w:val="center"/>
            </w:pPr>
            <w:r>
              <w:rPr>
                <w:color w:val="000000"/>
                <w:sz w:val="18"/>
                <w:szCs w:val="18"/>
              </w:rPr>
              <w:t>$36.159.398.410</w:t>
            </w:r>
          </w:p>
        </w:tc>
        <w:tc>
          <w:tcPr>
            <w:tcW w:w="2640" w:type="dxa"/>
            <w:tcBorders>
              <w:top w:val="single" w:sz="4" w:space="0" w:color="BBBBBB"/>
              <w:left w:val="single" w:sz="4" w:space="0" w:color="BBBBBB"/>
              <w:bottom w:val="single" w:sz="4" w:space="0" w:color="BBBBBB"/>
              <w:right w:val="single" w:sz="4" w:space="0" w:color="BBBBBB"/>
            </w:tcBorders>
            <w:shd w:val="clear" w:color="auto" w:fill="F2F2F2"/>
            <w:tcMar>
              <w:top w:w="80" w:type="dxa"/>
              <w:left w:w="120" w:type="dxa"/>
              <w:bottom w:w="80" w:type="dxa"/>
              <w:right w:w="120" w:type="dxa"/>
            </w:tcMar>
            <w:vAlign w:val="center"/>
          </w:tcPr>
          <w:p w14:paraId="69948DD4" w14:textId="77777777" w:rsidR="00F52ED5" w:rsidRDefault="001541F8">
            <w:r>
              <w:rPr>
                <w:color w:val="000000"/>
                <w:sz w:val="18"/>
                <w:szCs w:val="18"/>
              </w:rPr>
              <w:t>Ejecución acelerada obras + reformulaciones</w:t>
            </w:r>
          </w:p>
        </w:tc>
        <w:tc>
          <w:tcPr>
            <w:tcW w:w="2000" w:type="dxa"/>
            <w:tcBorders>
              <w:top w:val="single" w:sz="4" w:space="0" w:color="BBBBBB"/>
              <w:left w:val="single" w:sz="4" w:space="0" w:color="BBBBBB"/>
              <w:bottom w:val="single" w:sz="4" w:space="0" w:color="BBBBBB"/>
              <w:right w:val="single" w:sz="4" w:space="0" w:color="BBBBBB"/>
            </w:tcBorders>
            <w:shd w:val="clear" w:color="auto" w:fill="F2F2F2"/>
            <w:tcMar>
              <w:top w:w="80" w:type="dxa"/>
              <w:left w:w="120" w:type="dxa"/>
              <w:bottom w:w="80" w:type="dxa"/>
              <w:right w:w="120" w:type="dxa"/>
            </w:tcMar>
            <w:vAlign w:val="center"/>
          </w:tcPr>
          <w:p w14:paraId="69948DD5" w14:textId="77777777" w:rsidR="00F52ED5" w:rsidRDefault="001541F8">
            <w:r>
              <w:rPr>
                <w:color w:val="000000"/>
                <w:sz w:val="18"/>
                <w:szCs w:val="18"/>
              </w:rPr>
              <w:t>Máximo ritmo de obra</w:t>
            </w:r>
          </w:p>
        </w:tc>
      </w:tr>
      <w:tr w:rsidR="00F52ED5" w14:paraId="69948DDB" w14:textId="77777777">
        <w:tc>
          <w:tcPr>
            <w:tcW w:w="1600" w:type="dxa"/>
            <w:tcBorders>
              <w:top w:val="single" w:sz="4" w:space="0" w:color="BBBBBB"/>
              <w:left w:val="single" w:sz="4" w:space="0" w:color="BBBBBB"/>
              <w:bottom w:val="single" w:sz="4" w:space="0" w:color="BBBBBB"/>
              <w:right w:val="single" w:sz="4" w:space="0" w:color="BBBBBB"/>
            </w:tcBorders>
            <w:shd w:val="clear" w:color="auto" w:fill="FFFFFF"/>
            <w:tcMar>
              <w:top w:w="80" w:type="dxa"/>
              <w:left w:w="120" w:type="dxa"/>
              <w:bottom w:w="80" w:type="dxa"/>
              <w:right w:w="120" w:type="dxa"/>
            </w:tcMar>
            <w:vAlign w:val="center"/>
          </w:tcPr>
          <w:p w14:paraId="69948DD7" w14:textId="77777777" w:rsidR="00F52ED5" w:rsidRDefault="001541F8">
            <w:pPr>
              <w:jc w:val="center"/>
            </w:pPr>
            <w:r>
              <w:rPr>
                <w:b/>
                <w:bCs/>
                <w:color w:val="000000"/>
                <w:sz w:val="18"/>
                <w:szCs w:val="18"/>
              </w:rPr>
              <w:t>2026</w:t>
            </w:r>
          </w:p>
        </w:tc>
        <w:tc>
          <w:tcPr>
            <w:tcW w:w="2640" w:type="dxa"/>
            <w:tcBorders>
              <w:top w:val="single" w:sz="4" w:space="0" w:color="BBBBBB"/>
              <w:left w:val="single" w:sz="4" w:space="0" w:color="BBBBBB"/>
              <w:bottom w:val="single" w:sz="4" w:space="0" w:color="BBBBBB"/>
              <w:right w:val="single" w:sz="4" w:space="0" w:color="BBBBBB"/>
            </w:tcBorders>
            <w:shd w:val="clear" w:color="auto" w:fill="FFFFFF"/>
            <w:tcMar>
              <w:top w:w="80" w:type="dxa"/>
              <w:left w:w="120" w:type="dxa"/>
              <w:bottom w:w="80" w:type="dxa"/>
              <w:right w:w="120" w:type="dxa"/>
            </w:tcMar>
            <w:vAlign w:val="center"/>
          </w:tcPr>
          <w:p w14:paraId="69948DD8" w14:textId="77777777" w:rsidR="00F52ED5" w:rsidRDefault="001541F8">
            <w:pPr>
              <w:jc w:val="center"/>
            </w:pPr>
            <w:r>
              <w:rPr>
                <w:color w:val="000000"/>
                <w:sz w:val="18"/>
                <w:szCs w:val="18"/>
              </w:rPr>
              <w:t>$19.887.160.858</w:t>
            </w:r>
          </w:p>
        </w:tc>
        <w:tc>
          <w:tcPr>
            <w:tcW w:w="2640" w:type="dxa"/>
            <w:tcBorders>
              <w:top w:val="single" w:sz="4" w:space="0" w:color="BBBBBB"/>
              <w:left w:val="single" w:sz="4" w:space="0" w:color="BBBBBB"/>
              <w:bottom w:val="single" w:sz="4" w:space="0" w:color="BBBBBB"/>
              <w:right w:val="single" w:sz="4" w:space="0" w:color="BBBBBB"/>
            </w:tcBorders>
            <w:shd w:val="clear" w:color="auto" w:fill="FFFFFF"/>
            <w:tcMar>
              <w:top w:w="80" w:type="dxa"/>
              <w:left w:w="120" w:type="dxa"/>
              <w:bottom w:w="80" w:type="dxa"/>
              <w:right w:w="120" w:type="dxa"/>
            </w:tcMar>
            <w:vAlign w:val="center"/>
          </w:tcPr>
          <w:p w14:paraId="69948DD9" w14:textId="77777777" w:rsidR="00F52ED5" w:rsidRDefault="001541F8">
            <w:r>
              <w:rPr>
                <w:color w:val="000000"/>
                <w:sz w:val="18"/>
                <w:szCs w:val="18"/>
              </w:rPr>
              <w:t xml:space="preserve">Obras finales + cierre programa (a </w:t>
            </w:r>
            <w:proofErr w:type="spellStart"/>
            <w:r>
              <w:rPr>
                <w:color w:val="000000"/>
                <w:sz w:val="18"/>
                <w:szCs w:val="18"/>
              </w:rPr>
              <w:t>may</w:t>
            </w:r>
            <w:proofErr w:type="spellEnd"/>
            <w:r>
              <w:rPr>
                <w:color w:val="000000"/>
                <w:sz w:val="18"/>
                <w:szCs w:val="18"/>
              </w:rPr>
              <w:t>/2026)</w:t>
            </w:r>
          </w:p>
        </w:tc>
        <w:tc>
          <w:tcPr>
            <w:tcW w:w="2000" w:type="dxa"/>
            <w:tcBorders>
              <w:top w:val="single" w:sz="4" w:space="0" w:color="BBBBBB"/>
              <w:left w:val="single" w:sz="4" w:space="0" w:color="BBBBBB"/>
              <w:bottom w:val="single" w:sz="4" w:space="0" w:color="BBBBBB"/>
              <w:right w:val="single" w:sz="4" w:space="0" w:color="BBBBBB"/>
            </w:tcBorders>
            <w:shd w:val="clear" w:color="auto" w:fill="FFFFFF"/>
            <w:tcMar>
              <w:top w:w="80" w:type="dxa"/>
              <w:left w:w="120" w:type="dxa"/>
              <w:bottom w:w="80" w:type="dxa"/>
              <w:right w:w="120" w:type="dxa"/>
            </w:tcMar>
            <w:vAlign w:val="center"/>
          </w:tcPr>
          <w:p w14:paraId="69948DDA" w14:textId="77777777" w:rsidR="00F52ED5" w:rsidRDefault="001541F8">
            <w:r>
              <w:rPr>
                <w:color w:val="000000"/>
                <w:sz w:val="18"/>
                <w:szCs w:val="18"/>
              </w:rPr>
              <w:t>Fase de cierre</w:t>
            </w:r>
          </w:p>
        </w:tc>
      </w:tr>
      <w:tr w:rsidR="00F52ED5" w14:paraId="69948DE0" w14:textId="77777777">
        <w:tc>
          <w:tcPr>
            <w:tcW w:w="1600" w:type="dxa"/>
            <w:tcBorders>
              <w:top w:val="single" w:sz="4" w:space="0" w:color="BBBBBB"/>
              <w:left w:val="single" w:sz="4" w:space="0" w:color="BBBBBB"/>
              <w:bottom w:val="single" w:sz="4" w:space="0" w:color="BBBBBB"/>
              <w:right w:val="single" w:sz="4" w:space="0" w:color="BBBBBB"/>
            </w:tcBorders>
            <w:shd w:val="clear" w:color="auto" w:fill="D6E4F0"/>
            <w:tcMar>
              <w:top w:w="80" w:type="dxa"/>
              <w:left w:w="120" w:type="dxa"/>
              <w:bottom w:w="80" w:type="dxa"/>
              <w:right w:w="120" w:type="dxa"/>
            </w:tcMar>
            <w:vAlign w:val="center"/>
          </w:tcPr>
          <w:p w14:paraId="69948DDC" w14:textId="77777777" w:rsidR="00F52ED5" w:rsidRDefault="001541F8">
            <w:pPr>
              <w:jc w:val="center"/>
            </w:pPr>
            <w:r>
              <w:rPr>
                <w:b/>
                <w:bCs/>
                <w:color w:val="000000"/>
                <w:sz w:val="18"/>
                <w:szCs w:val="18"/>
              </w:rPr>
              <w:t>TOTAL</w:t>
            </w:r>
          </w:p>
        </w:tc>
        <w:tc>
          <w:tcPr>
            <w:tcW w:w="2640" w:type="dxa"/>
            <w:tcBorders>
              <w:top w:val="single" w:sz="4" w:space="0" w:color="BBBBBB"/>
              <w:left w:val="single" w:sz="4" w:space="0" w:color="BBBBBB"/>
              <w:bottom w:val="single" w:sz="4" w:space="0" w:color="BBBBBB"/>
              <w:right w:val="single" w:sz="4" w:space="0" w:color="BBBBBB"/>
            </w:tcBorders>
            <w:shd w:val="clear" w:color="auto" w:fill="D6E4F0"/>
            <w:tcMar>
              <w:top w:w="80" w:type="dxa"/>
              <w:left w:w="120" w:type="dxa"/>
              <w:bottom w:w="80" w:type="dxa"/>
              <w:right w:w="120" w:type="dxa"/>
            </w:tcMar>
            <w:vAlign w:val="center"/>
          </w:tcPr>
          <w:p w14:paraId="69948DDD" w14:textId="77777777" w:rsidR="00F52ED5" w:rsidRDefault="001541F8">
            <w:pPr>
              <w:jc w:val="center"/>
            </w:pPr>
            <w:r>
              <w:rPr>
                <w:b/>
                <w:bCs/>
                <w:color w:val="000000"/>
                <w:sz w:val="18"/>
                <w:szCs w:val="18"/>
              </w:rPr>
              <w:t>$132.578.948.106</w:t>
            </w:r>
          </w:p>
        </w:tc>
        <w:tc>
          <w:tcPr>
            <w:tcW w:w="2640" w:type="dxa"/>
            <w:tcBorders>
              <w:top w:val="single" w:sz="4" w:space="0" w:color="BBBBBB"/>
              <w:left w:val="single" w:sz="4" w:space="0" w:color="BBBBBB"/>
              <w:bottom w:val="single" w:sz="4" w:space="0" w:color="BBBBBB"/>
              <w:right w:val="single" w:sz="4" w:space="0" w:color="BBBBBB"/>
            </w:tcBorders>
            <w:shd w:val="clear" w:color="auto" w:fill="D6E4F0"/>
            <w:tcMar>
              <w:top w:w="80" w:type="dxa"/>
              <w:left w:w="120" w:type="dxa"/>
              <w:bottom w:w="80" w:type="dxa"/>
              <w:right w:w="120" w:type="dxa"/>
            </w:tcMar>
            <w:vAlign w:val="center"/>
          </w:tcPr>
          <w:p w14:paraId="69948DDE" w14:textId="77777777" w:rsidR="00F52ED5" w:rsidRDefault="001541F8">
            <w:r>
              <w:rPr>
                <w:b/>
                <w:bCs/>
                <w:color w:val="000000"/>
                <w:sz w:val="18"/>
                <w:szCs w:val="18"/>
              </w:rPr>
              <w:t>Préstamo BID 5193</w:t>
            </w:r>
          </w:p>
        </w:tc>
        <w:tc>
          <w:tcPr>
            <w:tcW w:w="2000" w:type="dxa"/>
            <w:tcBorders>
              <w:top w:val="single" w:sz="4" w:space="0" w:color="BBBBBB"/>
              <w:left w:val="single" w:sz="4" w:space="0" w:color="BBBBBB"/>
              <w:bottom w:val="single" w:sz="4" w:space="0" w:color="BBBBBB"/>
              <w:right w:val="single" w:sz="4" w:space="0" w:color="BBBBBB"/>
            </w:tcBorders>
            <w:shd w:val="clear" w:color="auto" w:fill="D6E4F0"/>
            <w:tcMar>
              <w:top w:w="80" w:type="dxa"/>
              <w:left w:w="120" w:type="dxa"/>
              <w:bottom w:w="80" w:type="dxa"/>
              <w:right w:w="120" w:type="dxa"/>
            </w:tcMar>
            <w:vAlign w:val="center"/>
          </w:tcPr>
          <w:p w14:paraId="69948DDF" w14:textId="77777777" w:rsidR="00F52ED5" w:rsidRDefault="00F52ED5"/>
        </w:tc>
      </w:tr>
    </w:tbl>
    <w:p w14:paraId="69948DE1" w14:textId="77777777" w:rsidR="00F52ED5" w:rsidRDefault="00F52ED5">
      <w:pPr>
        <w:spacing w:after="120"/>
      </w:pPr>
    </w:p>
    <w:p w14:paraId="69948DE2" w14:textId="77777777" w:rsidR="00F52ED5" w:rsidRDefault="001541F8">
      <w:pPr>
        <w:spacing w:before="80" w:after="80" w:line="276" w:lineRule="auto"/>
        <w:jc w:val="both"/>
        <w:rPr>
          <w:color w:val="000000"/>
        </w:rPr>
      </w:pPr>
      <w:r>
        <w:rPr>
          <w:color w:val="000000"/>
        </w:rPr>
        <w:t xml:space="preserve">Los giros al fideicomiso administrado por </w:t>
      </w:r>
      <w:proofErr w:type="spellStart"/>
      <w:r>
        <w:rPr>
          <w:color w:val="000000"/>
        </w:rPr>
        <w:t>Fidupopular</w:t>
      </w:r>
      <w:proofErr w:type="spellEnd"/>
      <w:r>
        <w:rPr>
          <w:color w:val="000000"/>
        </w:rPr>
        <w:t xml:space="preserve"> han permitido mantener un flujo de caja constante para el pago oportuno a contratistas de obra, interventores y la Gerencia Integral del Programa. El esquema fiduciario ha sido fundamental para garantizar la trazabilidad de los recursos y el cumplimiento de las políticas del BID en materia de adquisiciones y desembolsos.</w:t>
      </w:r>
    </w:p>
    <w:p w14:paraId="39A7412C" w14:textId="456F3914" w:rsidR="00A14A52" w:rsidRDefault="00A14A52" w:rsidP="00A14A52">
      <w:pPr>
        <w:pStyle w:val="Ttulo2"/>
      </w:pPr>
      <w:r>
        <w:t>4.3 Giros a la Fiducia por año — Donación BID 5189/GR-CO</w:t>
      </w:r>
    </w:p>
    <w:p w14:paraId="607BFABE" w14:textId="77777777" w:rsidR="00A14A52" w:rsidRDefault="00A14A52" w:rsidP="00A14A52">
      <w:pPr>
        <w:spacing w:before="80" w:after="80" w:line="276" w:lineRule="auto"/>
        <w:jc w:val="both"/>
      </w:pPr>
      <w:r>
        <w:rPr>
          <w:color w:val="000000"/>
        </w:rPr>
        <w:t xml:space="preserve">La Donación BID No. 5189/GR-CO, por un valor total de USD 7,75 millones, se incorporó al Presupuesto General de la Nación a partir de 2024 mediante trámites coordinados entre la UCP, el MHCP y el DNP. Los giros a </w:t>
      </w:r>
      <w:proofErr w:type="spellStart"/>
      <w:r>
        <w:rPr>
          <w:color w:val="000000"/>
        </w:rPr>
        <w:t>Fidupopular</w:t>
      </w:r>
      <w:proofErr w:type="spellEnd"/>
      <w:r>
        <w:rPr>
          <w:color w:val="000000"/>
        </w:rPr>
        <w:t xml:space="preserve"> fueron los siguientes:</w:t>
      </w:r>
    </w:p>
    <w:tbl>
      <w:tblPr>
        <w:tblW w:w="88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1400"/>
        <w:gridCol w:w="2400"/>
        <w:gridCol w:w="3280"/>
        <w:gridCol w:w="1800"/>
      </w:tblGrid>
      <w:tr w:rsidR="00A14A52" w14:paraId="2674976C" w14:textId="77777777" w:rsidTr="00474191">
        <w:trPr>
          <w:tblHeader/>
        </w:trPr>
        <w:tc>
          <w:tcPr>
            <w:tcW w:w="1400" w:type="dxa"/>
            <w:tcBorders>
              <w:top w:val="single" w:sz="4" w:space="0" w:color="BBBBBB"/>
              <w:left w:val="single" w:sz="4" w:space="0" w:color="BBBBBB"/>
              <w:bottom w:val="single" w:sz="4" w:space="0" w:color="BBBBBB"/>
              <w:right w:val="single" w:sz="4" w:space="0" w:color="BBBBBB"/>
            </w:tcBorders>
            <w:shd w:val="clear" w:color="auto" w:fill="2E75B6"/>
            <w:tcMar>
              <w:top w:w="80" w:type="dxa"/>
              <w:left w:w="120" w:type="dxa"/>
              <w:bottom w:w="80" w:type="dxa"/>
              <w:right w:w="120" w:type="dxa"/>
            </w:tcMar>
            <w:vAlign w:val="center"/>
          </w:tcPr>
          <w:p w14:paraId="0F4F28FD" w14:textId="77777777" w:rsidR="00A14A52" w:rsidRDefault="00A14A52" w:rsidP="00474191">
            <w:pPr>
              <w:jc w:val="center"/>
            </w:pPr>
            <w:r>
              <w:rPr>
                <w:b/>
                <w:bCs/>
                <w:color w:val="FFFFFF"/>
                <w:sz w:val="18"/>
                <w:szCs w:val="18"/>
              </w:rPr>
              <w:t>Año</w:t>
            </w:r>
          </w:p>
        </w:tc>
        <w:tc>
          <w:tcPr>
            <w:tcW w:w="2400" w:type="dxa"/>
            <w:tcBorders>
              <w:top w:val="single" w:sz="4" w:space="0" w:color="BBBBBB"/>
              <w:left w:val="single" w:sz="4" w:space="0" w:color="BBBBBB"/>
              <w:bottom w:val="single" w:sz="4" w:space="0" w:color="BBBBBB"/>
              <w:right w:val="single" w:sz="4" w:space="0" w:color="BBBBBB"/>
            </w:tcBorders>
            <w:shd w:val="clear" w:color="auto" w:fill="2E75B6"/>
            <w:tcMar>
              <w:top w:w="80" w:type="dxa"/>
              <w:left w:w="120" w:type="dxa"/>
              <w:bottom w:w="80" w:type="dxa"/>
              <w:right w:w="120" w:type="dxa"/>
            </w:tcMar>
            <w:vAlign w:val="center"/>
          </w:tcPr>
          <w:p w14:paraId="6AE41CD7" w14:textId="77777777" w:rsidR="00A14A52" w:rsidRDefault="00A14A52" w:rsidP="00474191">
            <w:pPr>
              <w:jc w:val="center"/>
            </w:pPr>
            <w:r>
              <w:rPr>
                <w:b/>
                <w:bCs/>
                <w:color w:val="FFFFFF"/>
                <w:sz w:val="18"/>
                <w:szCs w:val="18"/>
              </w:rPr>
              <w:t>Valor girado (COP)</w:t>
            </w:r>
          </w:p>
        </w:tc>
        <w:tc>
          <w:tcPr>
            <w:tcW w:w="3280" w:type="dxa"/>
            <w:tcBorders>
              <w:top w:val="single" w:sz="4" w:space="0" w:color="BBBBBB"/>
              <w:left w:val="single" w:sz="4" w:space="0" w:color="BBBBBB"/>
              <w:bottom w:val="single" w:sz="4" w:space="0" w:color="BBBBBB"/>
              <w:right w:val="single" w:sz="4" w:space="0" w:color="BBBBBB"/>
            </w:tcBorders>
            <w:shd w:val="clear" w:color="auto" w:fill="2E75B6"/>
            <w:tcMar>
              <w:top w:w="80" w:type="dxa"/>
              <w:left w:w="120" w:type="dxa"/>
              <w:bottom w:w="80" w:type="dxa"/>
              <w:right w:w="120" w:type="dxa"/>
            </w:tcMar>
            <w:vAlign w:val="center"/>
          </w:tcPr>
          <w:p w14:paraId="4C336761" w14:textId="77777777" w:rsidR="00A14A52" w:rsidRDefault="00A14A52" w:rsidP="00474191">
            <w:r>
              <w:rPr>
                <w:b/>
                <w:bCs/>
                <w:color w:val="FFFFFF"/>
                <w:sz w:val="18"/>
                <w:szCs w:val="18"/>
              </w:rPr>
              <w:t>Detalle de giros</w:t>
            </w:r>
          </w:p>
        </w:tc>
        <w:tc>
          <w:tcPr>
            <w:tcW w:w="1800" w:type="dxa"/>
            <w:tcBorders>
              <w:top w:val="single" w:sz="4" w:space="0" w:color="BBBBBB"/>
              <w:left w:val="single" w:sz="4" w:space="0" w:color="BBBBBB"/>
              <w:bottom w:val="single" w:sz="4" w:space="0" w:color="BBBBBB"/>
              <w:right w:val="single" w:sz="4" w:space="0" w:color="BBBBBB"/>
            </w:tcBorders>
            <w:shd w:val="clear" w:color="auto" w:fill="2E75B6"/>
            <w:tcMar>
              <w:top w:w="80" w:type="dxa"/>
              <w:left w:w="120" w:type="dxa"/>
              <w:bottom w:w="80" w:type="dxa"/>
              <w:right w:w="120" w:type="dxa"/>
            </w:tcMar>
            <w:vAlign w:val="center"/>
          </w:tcPr>
          <w:p w14:paraId="6B11D711" w14:textId="77777777" w:rsidR="00A14A52" w:rsidRDefault="00A14A52" w:rsidP="00474191">
            <w:r>
              <w:rPr>
                <w:b/>
                <w:bCs/>
                <w:color w:val="FFFFFF"/>
                <w:sz w:val="18"/>
                <w:szCs w:val="18"/>
              </w:rPr>
              <w:t>Contexto</w:t>
            </w:r>
          </w:p>
        </w:tc>
      </w:tr>
      <w:tr w:rsidR="00A14A52" w14:paraId="57602978" w14:textId="77777777" w:rsidTr="00474191">
        <w:tc>
          <w:tcPr>
            <w:tcW w:w="1400" w:type="dxa"/>
            <w:tcBorders>
              <w:top w:val="single" w:sz="4" w:space="0" w:color="BBBBBB"/>
              <w:left w:val="single" w:sz="4" w:space="0" w:color="BBBBBB"/>
              <w:bottom w:val="single" w:sz="4" w:space="0" w:color="BBBBBB"/>
              <w:right w:val="single" w:sz="4" w:space="0" w:color="BBBBBB"/>
            </w:tcBorders>
            <w:shd w:val="clear" w:color="auto" w:fill="FFFFFF"/>
            <w:tcMar>
              <w:top w:w="80" w:type="dxa"/>
              <w:left w:w="120" w:type="dxa"/>
              <w:bottom w:w="80" w:type="dxa"/>
              <w:right w:w="120" w:type="dxa"/>
            </w:tcMar>
            <w:vAlign w:val="center"/>
          </w:tcPr>
          <w:p w14:paraId="61E1C19B" w14:textId="77777777" w:rsidR="00A14A52" w:rsidRDefault="00A14A52" w:rsidP="00474191">
            <w:pPr>
              <w:jc w:val="center"/>
            </w:pPr>
            <w:r>
              <w:rPr>
                <w:b/>
                <w:bCs/>
                <w:color w:val="000000"/>
                <w:sz w:val="18"/>
                <w:szCs w:val="18"/>
              </w:rPr>
              <w:t>2024</w:t>
            </w:r>
          </w:p>
        </w:tc>
        <w:tc>
          <w:tcPr>
            <w:tcW w:w="2400" w:type="dxa"/>
            <w:tcBorders>
              <w:top w:val="single" w:sz="4" w:space="0" w:color="BBBBBB"/>
              <w:left w:val="single" w:sz="4" w:space="0" w:color="BBBBBB"/>
              <w:bottom w:val="single" w:sz="4" w:space="0" w:color="BBBBBB"/>
              <w:right w:val="single" w:sz="4" w:space="0" w:color="BBBBBB"/>
            </w:tcBorders>
            <w:shd w:val="clear" w:color="auto" w:fill="FFFFFF"/>
            <w:tcMar>
              <w:top w:w="80" w:type="dxa"/>
              <w:left w:w="120" w:type="dxa"/>
              <w:bottom w:w="80" w:type="dxa"/>
              <w:right w:w="120" w:type="dxa"/>
            </w:tcMar>
            <w:vAlign w:val="center"/>
          </w:tcPr>
          <w:p w14:paraId="2CCD3A11" w14:textId="77777777" w:rsidR="00A14A52" w:rsidRDefault="00A14A52" w:rsidP="00474191">
            <w:pPr>
              <w:jc w:val="center"/>
            </w:pPr>
            <w:r>
              <w:rPr>
                <w:color w:val="000000"/>
                <w:sz w:val="18"/>
                <w:szCs w:val="18"/>
              </w:rPr>
              <w:t>$463.450.000</w:t>
            </w:r>
          </w:p>
        </w:tc>
        <w:tc>
          <w:tcPr>
            <w:tcW w:w="3280" w:type="dxa"/>
            <w:tcBorders>
              <w:top w:val="single" w:sz="4" w:space="0" w:color="BBBBBB"/>
              <w:left w:val="single" w:sz="4" w:space="0" w:color="BBBBBB"/>
              <w:bottom w:val="single" w:sz="4" w:space="0" w:color="BBBBBB"/>
              <w:right w:val="single" w:sz="4" w:space="0" w:color="BBBBBB"/>
            </w:tcBorders>
            <w:shd w:val="clear" w:color="auto" w:fill="FFFFFF"/>
            <w:tcMar>
              <w:top w:w="80" w:type="dxa"/>
              <w:left w:w="120" w:type="dxa"/>
              <w:bottom w:w="80" w:type="dxa"/>
              <w:right w:w="120" w:type="dxa"/>
            </w:tcMar>
            <w:vAlign w:val="center"/>
          </w:tcPr>
          <w:p w14:paraId="58396116" w14:textId="77777777" w:rsidR="00A14A52" w:rsidRDefault="00A14A52" w:rsidP="00474191">
            <w:r>
              <w:rPr>
                <w:color w:val="000000"/>
                <w:sz w:val="18"/>
                <w:szCs w:val="18"/>
              </w:rPr>
              <w:t>Dos giros: $376,7 M (feb) + $86,75 M (dic)</w:t>
            </w:r>
          </w:p>
        </w:tc>
        <w:tc>
          <w:tcPr>
            <w:tcW w:w="1800" w:type="dxa"/>
            <w:tcBorders>
              <w:top w:val="single" w:sz="4" w:space="0" w:color="BBBBBB"/>
              <w:left w:val="single" w:sz="4" w:space="0" w:color="BBBBBB"/>
              <w:bottom w:val="single" w:sz="4" w:space="0" w:color="BBBBBB"/>
              <w:right w:val="single" w:sz="4" w:space="0" w:color="BBBBBB"/>
            </w:tcBorders>
            <w:shd w:val="clear" w:color="auto" w:fill="FFFFFF"/>
            <w:tcMar>
              <w:top w:w="80" w:type="dxa"/>
              <w:left w:w="120" w:type="dxa"/>
              <w:bottom w:w="80" w:type="dxa"/>
              <w:right w:w="120" w:type="dxa"/>
            </w:tcMar>
            <w:vAlign w:val="center"/>
          </w:tcPr>
          <w:p w14:paraId="2C4E6AB3" w14:textId="77777777" w:rsidR="00A14A52" w:rsidRDefault="00A14A52" w:rsidP="00474191">
            <w:r>
              <w:rPr>
                <w:color w:val="000000"/>
                <w:sz w:val="18"/>
                <w:szCs w:val="18"/>
              </w:rPr>
              <w:t>Primer año de ejecución donación</w:t>
            </w:r>
          </w:p>
        </w:tc>
      </w:tr>
      <w:tr w:rsidR="00A14A52" w14:paraId="3FF38F44" w14:textId="77777777" w:rsidTr="00474191">
        <w:tc>
          <w:tcPr>
            <w:tcW w:w="1400" w:type="dxa"/>
            <w:tcBorders>
              <w:top w:val="single" w:sz="4" w:space="0" w:color="BBBBBB"/>
              <w:left w:val="single" w:sz="4" w:space="0" w:color="BBBBBB"/>
              <w:bottom w:val="single" w:sz="4" w:space="0" w:color="BBBBBB"/>
              <w:right w:val="single" w:sz="4" w:space="0" w:color="BBBBBB"/>
            </w:tcBorders>
            <w:shd w:val="clear" w:color="auto" w:fill="F2F2F2"/>
            <w:tcMar>
              <w:top w:w="80" w:type="dxa"/>
              <w:left w:w="120" w:type="dxa"/>
              <w:bottom w:w="80" w:type="dxa"/>
              <w:right w:w="120" w:type="dxa"/>
            </w:tcMar>
            <w:vAlign w:val="center"/>
          </w:tcPr>
          <w:p w14:paraId="1F23D5A2" w14:textId="77777777" w:rsidR="00A14A52" w:rsidRDefault="00A14A52" w:rsidP="00474191">
            <w:pPr>
              <w:jc w:val="center"/>
            </w:pPr>
            <w:r>
              <w:rPr>
                <w:b/>
                <w:bCs/>
                <w:color w:val="000000"/>
                <w:sz w:val="18"/>
                <w:szCs w:val="18"/>
              </w:rPr>
              <w:t>2025</w:t>
            </w:r>
          </w:p>
        </w:tc>
        <w:tc>
          <w:tcPr>
            <w:tcW w:w="2400" w:type="dxa"/>
            <w:tcBorders>
              <w:top w:val="single" w:sz="4" w:space="0" w:color="BBBBBB"/>
              <w:left w:val="single" w:sz="4" w:space="0" w:color="BBBBBB"/>
              <w:bottom w:val="single" w:sz="4" w:space="0" w:color="BBBBBB"/>
              <w:right w:val="single" w:sz="4" w:space="0" w:color="BBBBBB"/>
            </w:tcBorders>
            <w:shd w:val="clear" w:color="auto" w:fill="F2F2F2"/>
            <w:tcMar>
              <w:top w:w="80" w:type="dxa"/>
              <w:left w:w="120" w:type="dxa"/>
              <w:bottom w:w="80" w:type="dxa"/>
              <w:right w:w="120" w:type="dxa"/>
            </w:tcMar>
            <w:vAlign w:val="center"/>
          </w:tcPr>
          <w:p w14:paraId="3CC7770D" w14:textId="77777777" w:rsidR="00A14A52" w:rsidRDefault="00A14A52" w:rsidP="00474191">
            <w:pPr>
              <w:jc w:val="center"/>
            </w:pPr>
            <w:r>
              <w:rPr>
                <w:color w:val="000000"/>
                <w:sz w:val="18"/>
                <w:szCs w:val="18"/>
              </w:rPr>
              <w:t>$19.585.511.450</w:t>
            </w:r>
          </w:p>
        </w:tc>
        <w:tc>
          <w:tcPr>
            <w:tcW w:w="3280" w:type="dxa"/>
            <w:tcBorders>
              <w:top w:val="single" w:sz="4" w:space="0" w:color="BBBBBB"/>
              <w:left w:val="single" w:sz="4" w:space="0" w:color="BBBBBB"/>
              <w:bottom w:val="single" w:sz="4" w:space="0" w:color="BBBBBB"/>
              <w:right w:val="single" w:sz="4" w:space="0" w:color="BBBBBB"/>
            </w:tcBorders>
            <w:shd w:val="clear" w:color="auto" w:fill="F2F2F2"/>
            <w:tcMar>
              <w:top w:w="80" w:type="dxa"/>
              <w:left w:w="120" w:type="dxa"/>
              <w:bottom w:w="80" w:type="dxa"/>
              <w:right w:w="120" w:type="dxa"/>
            </w:tcMar>
            <w:vAlign w:val="center"/>
          </w:tcPr>
          <w:p w14:paraId="4B2F0756" w14:textId="77777777" w:rsidR="00A14A52" w:rsidRPr="00DB23E8" w:rsidRDefault="00A14A52" w:rsidP="00474191">
            <w:pPr>
              <w:rPr>
                <w:lang w:val="pt-PT"/>
              </w:rPr>
            </w:pPr>
            <w:r w:rsidRPr="00DB23E8">
              <w:rPr>
                <w:color w:val="000000"/>
                <w:sz w:val="18"/>
                <w:szCs w:val="18"/>
                <w:lang w:val="pt-PT"/>
              </w:rPr>
              <w:t>Seis giros: $12.243,5 M (mar) + $1.436,6 M (mar) + $1.200 M (sep) + $3.600 M (nov) + $800 M (nov) + $305,5 M (dic)</w:t>
            </w:r>
          </w:p>
        </w:tc>
        <w:tc>
          <w:tcPr>
            <w:tcW w:w="1800" w:type="dxa"/>
            <w:tcBorders>
              <w:top w:val="single" w:sz="4" w:space="0" w:color="BBBBBB"/>
              <w:left w:val="single" w:sz="4" w:space="0" w:color="BBBBBB"/>
              <w:bottom w:val="single" w:sz="4" w:space="0" w:color="BBBBBB"/>
              <w:right w:val="single" w:sz="4" w:space="0" w:color="BBBBBB"/>
            </w:tcBorders>
            <w:shd w:val="clear" w:color="auto" w:fill="F2F2F2"/>
            <w:tcMar>
              <w:top w:w="80" w:type="dxa"/>
              <w:left w:w="120" w:type="dxa"/>
              <w:bottom w:w="80" w:type="dxa"/>
              <w:right w:w="120" w:type="dxa"/>
            </w:tcMar>
            <w:vAlign w:val="center"/>
          </w:tcPr>
          <w:p w14:paraId="6639515F" w14:textId="77777777" w:rsidR="00A14A52" w:rsidRDefault="00A14A52" w:rsidP="00474191">
            <w:r>
              <w:rPr>
                <w:color w:val="000000"/>
                <w:sz w:val="18"/>
                <w:szCs w:val="18"/>
              </w:rPr>
              <w:t>Año de máxima ejecución</w:t>
            </w:r>
          </w:p>
        </w:tc>
      </w:tr>
      <w:tr w:rsidR="00A14A52" w14:paraId="7EF23572" w14:textId="77777777" w:rsidTr="00474191">
        <w:tc>
          <w:tcPr>
            <w:tcW w:w="1400" w:type="dxa"/>
            <w:tcBorders>
              <w:top w:val="single" w:sz="4" w:space="0" w:color="BBBBBB"/>
              <w:left w:val="single" w:sz="4" w:space="0" w:color="BBBBBB"/>
              <w:bottom w:val="single" w:sz="4" w:space="0" w:color="BBBBBB"/>
              <w:right w:val="single" w:sz="4" w:space="0" w:color="BBBBBB"/>
            </w:tcBorders>
            <w:shd w:val="clear" w:color="auto" w:fill="D6E4F0"/>
            <w:tcMar>
              <w:top w:w="80" w:type="dxa"/>
              <w:left w:w="120" w:type="dxa"/>
              <w:bottom w:w="80" w:type="dxa"/>
              <w:right w:w="120" w:type="dxa"/>
            </w:tcMar>
            <w:vAlign w:val="center"/>
          </w:tcPr>
          <w:p w14:paraId="7DCBF0CD" w14:textId="77777777" w:rsidR="00A14A52" w:rsidRDefault="00A14A52" w:rsidP="00474191">
            <w:pPr>
              <w:jc w:val="center"/>
            </w:pPr>
            <w:r>
              <w:rPr>
                <w:b/>
                <w:bCs/>
                <w:color w:val="000000"/>
                <w:sz w:val="18"/>
                <w:szCs w:val="18"/>
              </w:rPr>
              <w:t>TOTAL</w:t>
            </w:r>
          </w:p>
        </w:tc>
        <w:tc>
          <w:tcPr>
            <w:tcW w:w="2400" w:type="dxa"/>
            <w:tcBorders>
              <w:top w:val="single" w:sz="4" w:space="0" w:color="BBBBBB"/>
              <w:left w:val="single" w:sz="4" w:space="0" w:color="BBBBBB"/>
              <w:bottom w:val="single" w:sz="4" w:space="0" w:color="BBBBBB"/>
              <w:right w:val="single" w:sz="4" w:space="0" w:color="BBBBBB"/>
            </w:tcBorders>
            <w:shd w:val="clear" w:color="auto" w:fill="D6E4F0"/>
            <w:tcMar>
              <w:top w:w="80" w:type="dxa"/>
              <w:left w:w="120" w:type="dxa"/>
              <w:bottom w:w="80" w:type="dxa"/>
              <w:right w:w="120" w:type="dxa"/>
            </w:tcMar>
            <w:vAlign w:val="center"/>
          </w:tcPr>
          <w:p w14:paraId="13E1E528" w14:textId="77777777" w:rsidR="00A14A52" w:rsidRDefault="00A14A52" w:rsidP="00474191">
            <w:pPr>
              <w:jc w:val="center"/>
            </w:pPr>
            <w:r>
              <w:rPr>
                <w:b/>
                <w:bCs/>
                <w:color w:val="000000"/>
                <w:sz w:val="18"/>
                <w:szCs w:val="18"/>
              </w:rPr>
              <w:t>$20.048.961.450</w:t>
            </w:r>
          </w:p>
        </w:tc>
        <w:tc>
          <w:tcPr>
            <w:tcW w:w="3280" w:type="dxa"/>
            <w:tcBorders>
              <w:top w:val="single" w:sz="4" w:space="0" w:color="BBBBBB"/>
              <w:left w:val="single" w:sz="4" w:space="0" w:color="BBBBBB"/>
              <w:bottom w:val="single" w:sz="4" w:space="0" w:color="BBBBBB"/>
              <w:right w:val="single" w:sz="4" w:space="0" w:color="BBBBBB"/>
            </w:tcBorders>
            <w:shd w:val="clear" w:color="auto" w:fill="D6E4F0"/>
            <w:tcMar>
              <w:top w:w="80" w:type="dxa"/>
              <w:left w:w="120" w:type="dxa"/>
              <w:bottom w:w="80" w:type="dxa"/>
              <w:right w:w="120" w:type="dxa"/>
            </w:tcMar>
            <w:vAlign w:val="center"/>
          </w:tcPr>
          <w:p w14:paraId="5C20EC99" w14:textId="77777777" w:rsidR="00A14A52" w:rsidRDefault="00A14A52" w:rsidP="00474191">
            <w:r>
              <w:rPr>
                <w:b/>
                <w:bCs/>
                <w:color w:val="000000"/>
                <w:sz w:val="18"/>
                <w:szCs w:val="18"/>
              </w:rPr>
              <w:t>Donación BID 5189/GR-CO — COP transferidos a Fiducia</w:t>
            </w:r>
          </w:p>
        </w:tc>
        <w:tc>
          <w:tcPr>
            <w:tcW w:w="1800" w:type="dxa"/>
            <w:tcBorders>
              <w:top w:val="single" w:sz="4" w:space="0" w:color="BBBBBB"/>
              <w:left w:val="single" w:sz="4" w:space="0" w:color="BBBBBB"/>
              <w:bottom w:val="single" w:sz="4" w:space="0" w:color="BBBBBB"/>
              <w:right w:val="single" w:sz="4" w:space="0" w:color="BBBBBB"/>
            </w:tcBorders>
            <w:shd w:val="clear" w:color="auto" w:fill="D6E4F0"/>
            <w:tcMar>
              <w:top w:w="80" w:type="dxa"/>
              <w:left w:w="120" w:type="dxa"/>
              <w:bottom w:w="80" w:type="dxa"/>
              <w:right w:w="120" w:type="dxa"/>
            </w:tcMar>
            <w:vAlign w:val="center"/>
          </w:tcPr>
          <w:p w14:paraId="762184D7" w14:textId="77777777" w:rsidR="00A14A52" w:rsidRDefault="00A14A52" w:rsidP="00474191"/>
        </w:tc>
      </w:tr>
    </w:tbl>
    <w:p w14:paraId="2CF954AB" w14:textId="77777777" w:rsidR="00A14A52" w:rsidRDefault="00A14A52" w:rsidP="00A14A52">
      <w:pPr>
        <w:spacing w:after="120"/>
      </w:pPr>
    </w:p>
    <w:p w14:paraId="74320081" w14:textId="77777777" w:rsidR="00A14A52" w:rsidRDefault="00A14A52" w:rsidP="00A14A52">
      <w:pPr>
        <w:spacing w:before="80" w:after="80" w:line="276" w:lineRule="auto"/>
        <w:jc w:val="both"/>
        <w:rPr>
          <w:color w:val="000000"/>
        </w:rPr>
      </w:pPr>
      <w:r>
        <w:rPr>
          <w:color w:val="000000"/>
        </w:rPr>
        <w:lastRenderedPageBreak/>
        <w:t>La ejecución acumulada de estos recursos en 2025 fue de USD 4.065.107,90, destinados principalmente a pago de interventorías, la GIP y actividades del Componente 2 en los municipios de Riohacha, Fonseca y Urumita.</w:t>
      </w:r>
    </w:p>
    <w:p w14:paraId="67900C74" w14:textId="59436D35" w:rsidR="00A14A52" w:rsidRDefault="00A14A52" w:rsidP="00A14A52">
      <w:pPr>
        <w:pStyle w:val="Ttulo2"/>
      </w:pPr>
      <w:r>
        <w:t>4.4 Giros a la Fiducia por año — Donación COSUDE GRT/CF-18453-CO</w:t>
      </w:r>
    </w:p>
    <w:p w14:paraId="1C3AACE3" w14:textId="77777777" w:rsidR="00A14A52" w:rsidRDefault="00A14A52" w:rsidP="00A14A52">
      <w:pPr>
        <w:spacing w:before="80" w:after="80" w:line="276" w:lineRule="auto"/>
        <w:jc w:val="both"/>
      </w:pPr>
      <w:r>
        <w:rPr>
          <w:color w:val="000000"/>
        </w:rPr>
        <w:t xml:space="preserve">La Donación COSUDE No. GRT/CF-18453-CO, por un valor total de USD 5,00 millones, siguió el mismo proceso de incorporación presupuestal. Sus giros a </w:t>
      </w:r>
      <w:proofErr w:type="spellStart"/>
      <w:r>
        <w:rPr>
          <w:color w:val="000000"/>
        </w:rPr>
        <w:t>Fidupopular</w:t>
      </w:r>
      <w:proofErr w:type="spellEnd"/>
      <w:r>
        <w:rPr>
          <w:color w:val="000000"/>
        </w:rPr>
        <w:t xml:space="preserve"> fueron los siguientes:</w:t>
      </w:r>
    </w:p>
    <w:tbl>
      <w:tblPr>
        <w:tblW w:w="88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1400"/>
        <w:gridCol w:w="2400"/>
        <w:gridCol w:w="3280"/>
        <w:gridCol w:w="1800"/>
      </w:tblGrid>
      <w:tr w:rsidR="00A14A52" w14:paraId="7643E745" w14:textId="77777777" w:rsidTr="00474191">
        <w:trPr>
          <w:tblHeader/>
        </w:trPr>
        <w:tc>
          <w:tcPr>
            <w:tcW w:w="1400" w:type="dxa"/>
            <w:tcBorders>
              <w:top w:val="single" w:sz="4" w:space="0" w:color="BBBBBB"/>
              <w:left w:val="single" w:sz="4" w:space="0" w:color="BBBBBB"/>
              <w:bottom w:val="single" w:sz="4" w:space="0" w:color="BBBBBB"/>
              <w:right w:val="single" w:sz="4" w:space="0" w:color="BBBBBB"/>
            </w:tcBorders>
            <w:shd w:val="clear" w:color="auto" w:fill="2E75B6"/>
            <w:tcMar>
              <w:top w:w="80" w:type="dxa"/>
              <w:left w:w="120" w:type="dxa"/>
              <w:bottom w:w="80" w:type="dxa"/>
              <w:right w:w="120" w:type="dxa"/>
            </w:tcMar>
            <w:vAlign w:val="center"/>
          </w:tcPr>
          <w:p w14:paraId="120745C7" w14:textId="77777777" w:rsidR="00A14A52" w:rsidRDefault="00A14A52" w:rsidP="00474191">
            <w:pPr>
              <w:jc w:val="center"/>
            </w:pPr>
            <w:r>
              <w:rPr>
                <w:b/>
                <w:bCs/>
                <w:color w:val="FFFFFF"/>
                <w:sz w:val="18"/>
                <w:szCs w:val="18"/>
              </w:rPr>
              <w:t>Año</w:t>
            </w:r>
          </w:p>
        </w:tc>
        <w:tc>
          <w:tcPr>
            <w:tcW w:w="2400" w:type="dxa"/>
            <w:tcBorders>
              <w:top w:val="single" w:sz="4" w:space="0" w:color="BBBBBB"/>
              <w:left w:val="single" w:sz="4" w:space="0" w:color="BBBBBB"/>
              <w:bottom w:val="single" w:sz="4" w:space="0" w:color="BBBBBB"/>
              <w:right w:val="single" w:sz="4" w:space="0" w:color="BBBBBB"/>
            </w:tcBorders>
            <w:shd w:val="clear" w:color="auto" w:fill="2E75B6"/>
            <w:tcMar>
              <w:top w:w="80" w:type="dxa"/>
              <w:left w:w="120" w:type="dxa"/>
              <w:bottom w:w="80" w:type="dxa"/>
              <w:right w:w="120" w:type="dxa"/>
            </w:tcMar>
            <w:vAlign w:val="center"/>
          </w:tcPr>
          <w:p w14:paraId="3C0C9772" w14:textId="77777777" w:rsidR="00A14A52" w:rsidRDefault="00A14A52" w:rsidP="00474191">
            <w:pPr>
              <w:jc w:val="center"/>
            </w:pPr>
            <w:r>
              <w:rPr>
                <w:b/>
                <w:bCs/>
                <w:color w:val="FFFFFF"/>
                <w:sz w:val="18"/>
                <w:szCs w:val="18"/>
              </w:rPr>
              <w:t>Valor girado (COP)</w:t>
            </w:r>
          </w:p>
        </w:tc>
        <w:tc>
          <w:tcPr>
            <w:tcW w:w="3280" w:type="dxa"/>
            <w:tcBorders>
              <w:top w:val="single" w:sz="4" w:space="0" w:color="BBBBBB"/>
              <w:left w:val="single" w:sz="4" w:space="0" w:color="BBBBBB"/>
              <w:bottom w:val="single" w:sz="4" w:space="0" w:color="BBBBBB"/>
              <w:right w:val="single" w:sz="4" w:space="0" w:color="BBBBBB"/>
            </w:tcBorders>
            <w:shd w:val="clear" w:color="auto" w:fill="2E75B6"/>
            <w:tcMar>
              <w:top w:w="80" w:type="dxa"/>
              <w:left w:w="120" w:type="dxa"/>
              <w:bottom w:w="80" w:type="dxa"/>
              <w:right w:w="120" w:type="dxa"/>
            </w:tcMar>
            <w:vAlign w:val="center"/>
          </w:tcPr>
          <w:p w14:paraId="4A1AB413" w14:textId="77777777" w:rsidR="00A14A52" w:rsidRDefault="00A14A52" w:rsidP="00474191">
            <w:r>
              <w:rPr>
                <w:b/>
                <w:bCs/>
                <w:color w:val="FFFFFF"/>
                <w:sz w:val="18"/>
                <w:szCs w:val="18"/>
              </w:rPr>
              <w:t>Detalle de giros</w:t>
            </w:r>
          </w:p>
        </w:tc>
        <w:tc>
          <w:tcPr>
            <w:tcW w:w="1800" w:type="dxa"/>
            <w:tcBorders>
              <w:top w:val="single" w:sz="4" w:space="0" w:color="BBBBBB"/>
              <w:left w:val="single" w:sz="4" w:space="0" w:color="BBBBBB"/>
              <w:bottom w:val="single" w:sz="4" w:space="0" w:color="BBBBBB"/>
              <w:right w:val="single" w:sz="4" w:space="0" w:color="BBBBBB"/>
            </w:tcBorders>
            <w:shd w:val="clear" w:color="auto" w:fill="2E75B6"/>
            <w:tcMar>
              <w:top w:w="80" w:type="dxa"/>
              <w:left w:w="120" w:type="dxa"/>
              <w:bottom w:w="80" w:type="dxa"/>
              <w:right w:w="120" w:type="dxa"/>
            </w:tcMar>
            <w:vAlign w:val="center"/>
          </w:tcPr>
          <w:p w14:paraId="7D7B1790" w14:textId="77777777" w:rsidR="00A14A52" w:rsidRDefault="00A14A52" w:rsidP="00474191">
            <w:r>
              <w:rPr>
                <w:b/>
                <w:bCs/>
                <w:color w:val="FFFFFF"/>
                <w:sz w:val="18"/>
                <w:szCs w:val="18"/>
              </w:rPr>
              <w:t>Contexto</w:t>
            </w:r>
          </w:p>
        </w:tc>
      </w:tr>
      <w:tr w:rsidR="00A14A52" w14:paraId="7BDA0A11" w14:textId="77777777" w:rsidTr="00474191">
        <w:tc>
          <w:tcPr>
            <w:tcW w:w="1400" w:type="dxa"/>
            <w:tcBorders>
              <w:top w:val="single" w:sz="4" w:space="0" w:color="BBBBBB"/>
              <w:left w:val="single" w:sz="4" w:space="0" w:color="BBBBBB"/>
              <w:bottom w:val="single" w:sz="4" w:space="0" w:color="BBBBBB"/>
              <w:right w:val="single" w:sz="4" w:space="0" w:color="BBBBBB"/>
            </w:tcBorders>
            <w:shd w:val="clear" w:color="auto" w:fill="FFFFFF"/>
            <w:tcMar>
              <w:top w:w="80" w:type="dxa"/>
              <w:left w:w="120" w:type="dxa"/>
              <w:bottom w:w="80" w:type="dxa"/>
              <w:right w:w="120" w:type="dxa"/>
            </w:tcMar>
            <w:vAlign w:val="center"/>
          </w:tcPr>
          <w:p w14:paraId="260C3AED" w14:textId="77777777" w:rsidR="00A14A52" w:rsidRDefault="00A14A52" w:rsidP="00474191">
            <w:pPr>
              <w:jc w:val="center"/>
            </w:pPr>
            <w:r>
              <w:rPr>
                <w:b/>
                <w:bCs/>
                <w:color w:val="000000"/>
                <w:sz w:val="18"/>
                <w:szCs w:val="18"/>
              </w:rPr>
              <w:t>2024</w:t>
            </w:r>
          </w:p>
        </w:tc>
        <w:tc>
          <w:tcPr>
            <w:tcW w:w="2400" w:type="dxa"/>
            <w:tcBorders>
              <w:top w:val="single" w:sz="4" w:space="0" w:color="BBBBBB"/>
              <w:left w:val="single" w:sz="4" w:space="0" w:color="BBBBBB"/>
              <w:bottom w:val="single" w:sz="4" w:space="0" w:color="BBBBBB"/>
              <w:right w:val="single" w:sz="4" w:space="0" w:color="BBBBBB"/>
            </w:tcBorders>
            <w:shd w:val="clear" w:color="auto" w:fill="FFFFFF"/>
            <w:tcMar>
              <w:top w:w="80" w:type="dxa"/>
              <w:left w:w="120" w:type="dxa"/>
              <w:bottom w:w="80" w:type="dxa"/>
              <w:right w:w="120" w:type="dxa"/>
            </w:tcMar>
            <w:vAlign w:val="center"/>
          </w:tcPr>
          <w:p w14:paraId="3E3D6F7D" w14:textId="77777777" w:rsidR="00A14A52" w:rsidRDefault="00A14A52" w:rsidP="00474191">
            <w:pPr>
              <w:jc w:val="center"/>
            </w:pPr>
            <w:r>
              <w:rPr>
                <w:color w:val="000000"/>
                <w:sz w:val="18"/>
                <w:szCs w:val="18"/>
              </w:rPr>
              <w:t>$6.900.000.000</w:t>
            </w:r>
          </w:p>
        </w:tc>
        <w:tc>
          <w:tcPr>
            <w:tcW w:w="3280" w:type="dxa"/>
            <w:tcBorders>
              <w:top w:val="single" w:sz="4" w:space="0" w:color="BBBBBB"/>
              <w:left w:val="single" w:sz="4" w:space="0" w:color="BBBBBB"/>
              <w:bottom w:val="single" w:sz="4" w:space="0" w:color="BBBBBB"/>
              <w:right w:val="single" w:sz="4" w:space="0" w:color="BBBBBB"/>
            </w:tcBorders>
            <w:shd w:val="clear" w:color="auto" w:fill="FFFFFF"/>
            <w:tcMar>
              <w:top w:w="80" w:type="dxa"/>
              <w:left w:w="120" w:type="dxa"/>
              <w:bottom w:w="80" w:type="dxa"/>
              <w:right w:w="120" w:type="dxa"/>
            </w:tcMar>
            <w:vAlign w:val="center"/>
          </w:tcPr>
          <w:p w14:paraId="55EADCA2" w14:textId="77777777" w:rsidR="00A14A52" w:rsidRDefault="00A14A52" w:rsidP="00474191">
            <w:r>
              <w:rPr>
                <w:color w:val="000000"/>
                <w:sz w:val="18"/>
                <w:szCs w:val="18"/>
              </w:rPr>
              <w:t>Dos giros: $5.608,7 M (feb) + $1.291,3 M (dic)</w:t>
            </w:r>
          </w:p>
        </w:tc>
        <w:tc>
          <w:tcPr>
            <w:tcW w:w="1800" w:type="dxa"/>
            <w:tcBorders>
              <w:top w:val="single" w:sz="4" w:space="0" w:color="BBBBBB"/>
              <w:left w:val="single" w:sz="4" w:space="0" w:color="BBBBBB"/>
              <w:bottom w:val="single" w:sz="4" w:space="0" w:color="BBBBBB"/>
              <w:right w:val="single" w:sz="4" w:space="0" w:color="BBBBBB"/>
            </w:tcBorders>
            <w:shd w:val="clear" w:color="auto" w:fill="FFFFFF"/>
            <w:tcMar>
              <w:top w:w="80" w:type="dxa"/>
              <w:left w:w="120" w:type="dxa"/>
              <w:bottom w:w="80" w:type="dxa"/>
              <w:right w:w="120" w:type="dxa"/>
            </w:tcMar>
            <w:vAlign w:val="center"/>
          </w:tcPr>
          <w:p w14:paraId="2E1F24F8" w14:textId="77777777" w:rsidR="00A14A52" w:rsidRDefault="00A14A52" w:rsidP="00474191">
            <w:r>
              <w:rPr>
                <w:color w:val="000000"/>
                <w:sz w:val="18"/>
                <w:szCs w:val="18"/>
              </w:rPr>
              <w:t>Inicio incorporación al PGN</w:t>
            </w:r>
          </w:p>
        </w:tc>
      </w:tr>
      <w:tr w:rsidR="00A14A52" w14:paraId="42F8E18A" w14:textId="77777777" w:rsidTr="00474191">
        <w:tc>
          <w:tcPr>
            <w:tcW w:w="1400" w:type="dxa"/>
            <w:tcBorders>
              <w:top w:val="single" w:sz="4" w:space="0" w:color="BBBBBB"/>
              <w:left w:val="single" w:sz="4" w:space="0" w:color="BBBBBB"/>
              <w:bottom w:val="single" w:sz="4" w:space="0" w:color="BBBBBB"/>
              <w:right w:val="single" w:sz="4" w:space="0" w:color="BBBBBB"/>
            </w:tcBorders>
            <w:shd w:val="clear" w:color="auto" w:fill="F2F2F2"/>
            <w:tcMar>
              <w:top w:w="80" w:type="dxa"/>
              <w:left w:w="120" w:type="dxa"/>
              <w:bottom w:w="80" w:type="dxa"/>
              <w:right w:w="120" w:type="dxa"/>
            </w:tcMar>
            <w:vAlign w:val="center"/>
          </w:tcPr>
          <w:p w14:paraId="76C1356B" w14:textId="77777777" w:rsidR="00A14A52" w:rsidRDefault="00A14A52" w:rsidP="00474191">
            <w:pPr>
              <w:jc w:val="center"/>
            </w:pPr>
            <w:r>
              <w:rPr>
                <w:b/>
                <w:bCs/>
                <w:color w:val="000000"/>
                <w:sz w:val="18"/>
                <w:szCs w:val="18"/>
              </w:rPr>
              <w:t>2025</w:t>
            </w:r>
          </w:p>
        </w:tc>
        <w:tc>
          <w:tcPr>
            <w:tcW w:w="2400" w:type="dxa"/>
            <w:tcBorders>
              <w:top w:val="single" w:sz="4" w:space="0" w:color="BBBBBB"/>
              <w:left w:val="single" w:sz="4" w:space="0" w:color="BBBBBB"/>
              <w:bottom w:val="single" w:sz="4" w:space="0" w:color="BBBBBB"/>
              <w:right w:val="single" w:sz="4" w:space="0" w:color="BBBBBB"/>
            </w:tcBorders>
            <w:shd w:val="clear" w:color="auto" w:fill="F2F2F2"/>
            <w:tcMar>
              <w:top w:w="80" w:type="dxa"/>
              <w:left w:w="120" w:type="dxa"/>
              <w:bottom w:w="80" w:type="dxa"/>
              <w:right w:w="120" w:type="dxa"/>
            </w:tcMar>
            <w:vAlign w:val="center"/>
          </w:tcPr>
          <w:p w14:paraId="6D2B44D3" w14:textId="77777777" w:rsidR="00A14A52" w:rsidRDefault="00A14A52" w:rsidP="00474191">
            <w:pPr>
              <w:jc w:val="center"/>
            </w:pPr>
            <w:r>
              <w:rPr>
                <w:color w:val="000000"/>
                <w:sz w:val="18"/>
                <w:szCs w:val="18"/>
              </w:rPr>
              <w:t>$10.365.788.200</w:t>
            </w:r>
          </w:p>
        </w:tc>
        <w:tc>
          <w:tcPr>
            <w:tcW w:w="3280" w:type="dxa"/>
            <w:tcBorders>
              <w:top w:val="single" w:sz="4" w:space="0" w:color="BBBBBB"/>
              <w:left w:val="single" w:sz="4" w:space="0" w:color="BBBBBB"/>
              <w:bottom w:val="single" w:sz="4" w:space="0" w:color="BBBBBB"/>
              <w:right w:val="single" w:sz="4" w:space="0" w:color="BBBBBB"/>
            </w:tcBorders>
            <w:shd w:val="clear" w:color="auto" w:fill="F2F2F2"/>
            <w:tcMar>
              <w:top w:w="80" w:type="dxa"/>
              <w:left w:w="120" w:type="dxa"/>
              <w:bottom w:w="80" w:type="dxa"/>
              <w:right w:w="120" w:type="dxa"/>
            </w:tcMar>
            <w:vAlign w:val="center"/>
          </w:tcPr>
          <w:p w14:paraId="2FFC55B4" w14:textId="77777777" w:rsidR="00A14A52" w:rsidRDefault="00A14A52" w:rsidP="00474191">
            <w:r>
              <w:rPr>
                <w:color w:val="000000"/>
                <w:sz w:val="18"/>
                <w:szCs w:val="18"/>
              </w:rPr>
              <w:t>Dos giros: $9.950 M (nov) + $415,8 M (dic)</w:t>
            </w:r>
          </w:p>
        </w:tc>
        <w:tc>
          <w:tcPr>
            <w:tcW w:w="1800" w:type="dxa"/>
            <w:tcBorders>
              <w:top w:val="single" w:sz="4" w:space="0" w:color="BBBBBB"/>
              <w:left w:val="single" w:sz="4" w:space="0" w:color="BBBBBB"/>
              <w:bottom w:val="single" w:sz="4" w:space="0" w:color="BBBBBB"/>
              <w:right w:val="single" w:sz="4" w:space="0" w:color="BBBBBB"/>
            </w:tcBorders>
            <w:shd w:val="clear" w:color="auto" w:fill="F2F2F2"/>
            <w:tcMar>
              <w:top w:w="80" w:type="dxa"/>
              <w:left w:w="120" w:type="dxa"/>
              <w:bottom w:w="80" w:type="dxa"/>
              <w:right w:w="120" w:type="dxa"/>
            </w:tcMar>
            <w:vAlign w:val="center"/>
          </w:tcPr>
          <w:p w14:paraId="7E70A863" w14:textId="77777777" w:rsidR="00A14A52" w:rsidRDefault="00A14A52" w:rsidP="00474191">
            <w:r>
              <w:rPr>
                <w:color w:val="000000"/>
                <w:sz w:val="18"/>
                <w:szCs w:val="18"/>
              </w:rPr>
              <w:t>Aceleración ejecución donación</w:t>
            </w:r>
          </w:p>
        </w:tc>
      </w:tr>
      <w:tr w:rsidR="00A14A52" w14:paraId="471CF99A" w14:textId="77777777" w:rsidTr="00474191">
        <w:tc>
          <w:tcPr>
            <w:tcW w:w="1400" w:type="dxa"/>
            <w:tcBorders>
              <w:top w:val="single" w:sz="4" w:space="0" w:color="BBBBBB"/>
              <w:left w:val="single" w:sz="4" w:space="0" w:color="BBBBBB"/>
              <w:bottom w:val="single" w:sz="4" w:space="0" w:color="BBBBBB"/>
              <w:right w:val="single" w:sz="4" w:space="0" w:color="BBBBBB"/>
            </w:tcBorders>
            <w:shd w:val="clear" w:color="auto" w:fill="FFFFFF"/>
            <w:tcMar>
              <w:top w:w="80" w:type="dxa"/>
              <w:left w:w="120" w:type="dxa"/>
              <w:bottom w:w="80" w:type="dxa"/>
              <w:right w:w="120" w:type="dxa"/>
            </w:tcMar>
            <w:vAlign w:val="center"/>
          </w:tcPr>
          <w:p w14:paraId="60F14379" w14:textId="77777777" w:rsidR="00A14A52" w:rsidRDefault="00A14A52" w:rsidP="00474191">
            <w:pPr>
              <w:jc w:val="center"/>
            </w:pPr>
            <w:r>
              <w:rPr>
                <w:b/>
                <w:bCs/>
                <w:color w:val="000000"/>
                <w:sz w:val="18"/>
                <w:szCs w:val="18"/>
              </w:rPr>
              <w:t>2026</w:t>
            </w:r>
          </w:p>
        </w:tc>
        <w:tc>
          <w:tcPr>
            <w:tcW w:w="2400" w:type="dxa"/>
            <w:tcBorders>
              <w:top w:val="single" w:sz="4" w:space="0" w:color="BBBBBB"/>
              <w:left w:val="single" w:sz="4" w:space="0" w:color="BBBBBB"/>
              <w:bottom w:val="single" w:sz="4" w:space="0" w:color="BBBBBB"/>
              <w:right w:val="single" w:sz="4" w:space="0" w:color="BBBBBB"/>
            </w:tcBorders>
            <w:shd w:val="clear" w:color="auto" w:fill="FFFFFF"/>
            <w:tcMar>
              <w:top w:w="80" w:type="dxa"/>
              <w:left w:w="120" w:type="dxa"/>
              <w:bottom w:w="80" w:type="dxa"/>
              <w:right w:w="120" w:type="dxa"/>
            </w:tcMar>
            <w:vAlign w:val="center"/>
          </w:tcPr>
          <w:p w14:paraId="22B658B8" w14:textId="77777777" w:rsidR="00A14A52" w:rsidRDefault="00A14A52" w:rsidP="00474191">
            <w:pPr>
              <w:jc w:val="center"/>
            </w:pPr>
            <w:r>
              <w:rPr>
                <w:color w:val="000000"/>
                <w:sz w:val="18"/>
                <w:szCs w:val="18"/>
              </w:rPr>
              <w:t>$393.174.379</w:t>
            </w:r>
          </w:p>
        </w:tc>
        <w:tc>
          <w:tcPr>
            <w:tcW w:w="3280" w:type="dxa"/>
            <w:tcBorders>
              <w:top w:val="single" w:sz="4" w:space="0" w:color="BBBBBB"/>
              <w:left w:val="single" w:sz="4" w:space="0" w:color="BBBBBB"/>
              <w:bottom w:val="single" w:sz="4" w:space="0" w:color="BBBBBB"/>
              <w:right w:val="single" w:sz="4" w:space="0" w:color="BBBBBB"/>
            </w:tcBorders>
            <w:shd w:val="clear" w:color="auto" w:fill="FFFFFF"/>
            <w:tcMar>
              <w:top w:w="80" w:type="dxa"/>
              <w:left w:w="120" w:type="dxa"/>
              <w:bottom w:w="80" w:type="dxa"/>
              <w:right w:w="120" w:type="dxa"/>
            </w:tcMar>
            <w:vAlign w:val="center"/>
          </w:tcPr>
          <w:p w14:paraId="48764390" w14:textId="77777777" w:rsidR="00A14A52" w:rsidRDefault="00A14A52" w:rsidP="00474191">
            <w:r>
              <w:rPr>
                <w:color w:val="000000"/>
                <w:sz w:val="18"/>
                <w:szCs w:val="18"/>
              </w:rPr>
              <w:t>Giros de cierre (ene–abr 2026)</w:t>
            </w:r>
          </w:p>
        </w:tc>
        <w:tc>
          <w:tcPr>
            <w:tcW w:w="1800" w:type="dxa"/>
            <w:tcBorders>
              <w:top w:val="single" w:sz="4" w:space="0" w:color="BBBBBB"/>
              <w:left w:val="single" w:sz="4" w:space="0" w:color="BBBBBB"/>
              <w:bottom w:val="single" w:sz="4" w:space="0" w:color="BBBBBB"/>
              <w:right w:val="single" w:sz="4" w:space="0" w:color="BBBBBB"/>
            </w:tcBorders>
            <w:shd w:val="clear" w:color="auto" w:fill="FFFFFF"/>
            <w:tcMar>
              <w:top w:w="80" w:type="dxa"/>
              <w:left w:w="120" w:type="dxa"/>
              <w:bottom w:w="80" w:type="dxa"/>
              <w:right w:w="120" w:type="dxa"/>
            </w:tcMar>
            <w:vAlign w:val="center"/>
          </w:tcPr>
          <w:p w14:paraId="7C0AD868" w14:textId="77777777" w:rsidR="00A14A52" w:rsidRDefault="00A14A52" w:rsidP="00474191">
            <w:r>
              <w:rPr>
                <w:color w:val="000000"/>
                <w:sz w:val="18"/>
                <w:szCs w:val="18"/>
              </w:rPr>
              <w:t>Fase de cierre</w:t>
            </w:r>
          </w:p>
        </w:tc>
      </w:tr>
      <w:tr w:rsidR="00A14A52" w14:paraId="20C8B81F" w14:textId="77777777" w:rsidTr="00474191">
        <w:tc>
          <w:tcPr>
            <w:tcW w:w="1400" w:type="dxa"/>
            <w:tcBorders>
              <w:top w:val="single" w:sz="4" w:space="0" w:color="BBBBBB"/>
              <w:left w:val="single" w:sz="4" w:space="0" w:color="BBBBBB"/>
              <w:bottom w:val="single" w:sz="4" w:space="0" w:color="BBBBBB"/>
              <w:right w:val="single" w:sz="4" w:space="0" w:color="BBBBBB"/>
            </w:tcBorders>
            <w:shd w:val="clear" w:color="auto" w:fill="D6E4F0"/>
            <w:tcMar>
              <w:top w:w="80" w:type="dxa"/>
              <w:left w:w="120" w:type="dxa"/>
              <w:bottom w:w="80" w:type="dxa"/>
              <w:right w:w="120" w:type="dxa"/>
            </w:tcMar>
            <w:vAlign w:val="center"/>
          </w:tcPr>
          <w:p w14:paraId="3DA07179" w14:textId="77777777" w:rsidR="00A14A52" w:rsidRDefault="00A14A52" w:rsidP="00474191">
            <w:pPr>
              <w:jc w:val="center"/>
            </w:pPr>
            <w:r>
              <w:rPr>
                <w:b/>
                <w:bCs/>
                <w:color w:val="000000"/>
                <w:sz w:val="18"/>
                <w:szCs w:val="18"/>
              </w:rPr>
              <w:t>TOTAL</w:t>
            </w:r>
          </w:p>
        </w:tc>
        <w:tc>
          <w:tcPr>
            <w:tcW w:w="2400" w:type="dxa"/>
            <w:tcBorders>
              <w:top w:val="single" w:sz="4" w:space="0" w:color="BBBBBB"/>
              <w:left w:val="single" w:sz="4" w:space="0" w:color="BBBBBB"/>
              <w:bottom w:val="single" w:sz="4" w:space="0" w:color="BBBBBB"/>
              <w:right w:val="single" w:sz="4" w:space="0" w:color="BBBBBB"/>
            </w:tcBorders>
            <w:shd w:val="clear" w:color="auto" w:fill="D6E4F0"/>
            <w:tcMar>
              <w:top w:w="80" w:type="dxa"/>
              <w:left w:w="120" w:type="dxa"/>
              <w:bottom w:w="80" w:type="dxa"/>
              <w:right w:w="120" w:type="dxa"/>
            </w:tcMar>
            <w:vAlign w:val="center"/>
          </w:tcPr>
          <w:p w14:paraId="4F2DF158" w14:textId="77777777" w:rsidR="00A14A52" w:rsidRDefault="00A14A52" w:rsidP="00474191">
            <w:pPr>
              <w:jc w:val="center"/>
            </w:pPr>
            <w:r>
              <w:rPr>
                <w:b/>
                <w:bCs/>
                <w:color w:val="000000"/>
                <w:sz w:val="18"/>
                <w:szCs w:val="18"/>
              </w:rPr>
              <w:t>$17.265.788.200</w:t>
            </w:r>
          </w:p>
        </w:tc>
        <w:tc>
          <w:tcPr>
            <w:tcW w:w="3280" w:type="dxa"/>
            <w:tcBorders>
              <w:top w:val="single" w:sz="4" w:space="0" w:color="BBBBBB"/>
              <w:left w:val="single" w:sz="4" w:space="0" w:color="BBBBBB"/>
              <w:bottom w:val="single" w:sz="4" w:space="0" w:color="BBBBBB"/>
              <w:right w:val="single" w:sz="4" w:space="0" w:color="BBBBBB"/>
            </w:tcBorders>
            <w:shd w:val="clear" w:color="auto" w:fill="D6E4F0"/>
            <w:tcMar>
              <w:top w:w="80" w:type="dxa"/>
              <w:left w:w="120" w:type="dxa"/>
              <w:bottom w:w="80" w:type="dxa"/>
              <w:right w:w="120" w:type="dxa"/>
            </w:tcMar>
            <w:vAlign w:val="center"/>
          </w:tcPr>
          <w:p w14:paraId="30909443" w14:textId="77777777" w:rsidR="00A14A52" w:rsidRDefault="00A14A52" w:rsidP="00474191">
            <w:r>
              <w:rPr>
                <w:b/>
                <w:bCs/>
                <w:color w:val="000000"/>
                <w:sz w:val="18"/>
                <w:szCs w:val="18"/>
              </w:rPr>
              <w:t>Donación COSUDE GRT/CF-18453-CO — COP transferidos a Fiducia</w:t>
            </w:r>
          </w:p>
        </w:tc>
        <w:tc>
          <w:tcPr>
            <w:tcW w:w="1800" w:type="dxa"/>
            <w:tcBorders>
              <w:top w:val="single" w:sz="4" w:space="0" w:color="BBBBBB"/>
              <w:left w:val="single" w:sz="4" w:space="0" w:color="BBBBBB"/>
              <w:bottom w:val="single" w:sz="4" w:space="0" w:color="BBBBBB"/>
              <w:right w:val="single" w:sz="4" w:space="0" w:color="BBBBBB"/>
            </w:tcBorders>
            <w:shd w:val="clear" w:color="auto" w:fill="D6E4F0"/>
            <w:tcMar>
              <w:top w:w="80" w:type="dxa"/>
              <w:left w:w="120" w:type="dxa"/>
              <w:bottom w:w="80" w:type="dxa"/>
              <w:right w:w="120" w:type="dxa"/>
            </w:tcMar>
            <w:vAlign w:val="center"/>
          </w:tcPr>
          <w:p w14:paraId="35949945" w14:textId="77777777" w:rsidR="00A14A52" w:rsidRDefault="00A14A52" w:rsidP="00474191"/>
        </w:tc>
      </w:tr>
    </w:tbl>
    <w:p w14:paraId="4F4C3EC0" w14:textId="77777777" w:rsidR="00A14A52" w:rsidRDefault="00A14A52" w:rsidP="00A14A52">
      <w:pPr>
        <w:spacing w:after="120"/>
      </w:pPr>
    </w:p>
    <w:p w14:paraId="3B101C26" w14:textId="77777777" w:rsidR="00A14A52" w:rsidRDefault="00A14A52" w:rsidP="00A14A52">
      <w:pPr>
        <w:spacing w:before="80" w:after="80" w:line="276" w:lineRule="auto"/>
        <w:jc w:val="both"/>
      </w:pPr>
      <w:r>
        <w:rPr>
          <w:color w:val="000000"/>
        </w:rPr>
        <w:t>La ejecución acumulada de estos recursos en 2025 fue de USD 2.569.658,89. El saldo pendiente de ejecutar financia actividades del Componente 2 y gastos administrativos del Programa hasta el cierre del 23 de diciembre de 2026.</w:t>
      </w:r>
    </w:p>
    <w:p w14:paraId="69948DE4" w14:textId="3ADB9F5A" w:rsidR="00F52ED5" w:rsidRDefault="001541F8">
      <w:pPr>
        <w:pStyle w:val="Ttulo2"/>
      </w:pPr>
      <w:r>
        <w:t>4.</w:t>
      </w:r>
      <w:r w:rsidR="00A14A52">
        <w:t>5</w:t>
      </w:r>
      <w:r>
        <w:t xml:space="preserve"> Pagos a la Gerencia Integral del Programa (GIP)</w:t>
      </w:r>
    </w:p>
    <w:p w14:paraId="69948DE5" w14:textId="46DC0689" w:rsidR="00F52ED5" w:rsidRDefault="001541F8">
      <w:pPr>
        <w:spacing w:before="80" w:after="80" w:line="276" w:lineRule="auto"/>
        <w:jc w:val="both"/>
      </w:pPr>
      <w:r>
        <w:rPr>
          <w:color w:val="000000"/>
        </w:rPr>
        <w:t>Los honorarios pagados a la GIP (Consorcio IEHG-JVP La Guajira, Contrato No. 1127/2021) durante el período de</w:t>
      </w:r>
      <w:r w:rsidR="00C159DE">
        <w:rPr>
          <w:color w:val="000000"/>
        </w:rPr>
        <w:t xml:space="preserve">l Programa </w:t>
      </w:r>
      <w:r>
        <w:rPr>
          <w:color w:val="000000"/>
        </w:rPr>
        <w:t>ascienden a $17.905,1 millones de pesos en total ejecutado a abril de 2026, con la siguiente distribución anual:</w:t>
      </w:r>
    </w:p>
    <w:tbl>
      <w:tblPr>
        <w:tblW w:w="88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1400"/>
        <w:gridCol w:w="2200"/>
        <w:gridCol w:w="3480"/>
        <w:gridCol w:w="1800"/>
      </w:tblGrid>
      <w:tr w:rsidR="00F52ED5" w14:paraId="69948DEB" w14:textId="77777777">
        <w:trPr>
          <w:tblHeader/>
        </w:trPr>
        <w:tc>
          <w:tcPr>
            <w:tcW w:w="1400" w:type="dxa"/>
            <w:tcBorders>
              <w:top w:val="single" w:sz="4" w:space="0" w:color="BBBBBB"/>
              <w:left w:val="single" w:sz="4" w:space="0" w:color="BBBBBB"/>
              <w:bottom w:val="single" w:sz="4" w:space="0" w:color="BBBBBB"/>
              <w:right w:val="single" w:sz="4" w:space="0" w:color="BBBBBB"/>
            </w:tcBorders>
            <w:shd w:val="clear" w:color="auto" w:fill="2E75B6"/>
            <w:tcMar>
              <w:top w:w="80" w:type="dxa"/>
              <w:left w:w="120" w:type="dxa"/>
              <w:bottom w:w="80" w:type="dxa"/>
              <w:right w:w="120" w:type="dxa"/>
            </w:tcMar>
            <w:vAlign w:val="center"/>
          </w:tcPr>
          <w:p w14:paraId="69948DE7" w14:textId="77777777" w:rsidR="00F52ED5" w:rsidRDefault="001541F8">
            <w:pPr>
              <w:jc w:val="center"/>
            </w:pPr>
            <w:r>
              <w:rPr>
                <w:b/>
                <w:bCs/>
                <w:color w:val="FFFFFF"/>
                <w:sz w:val="18"/>
                <w:szCs w:val="18"/>
              </w:rPr>
              <w:t>Año</w:t>
            </w:r>
          </w:p>
        </w:tc>
        <w:tc>
          <w:tcPr>
            <w:tcW w:w="2200" w:type="dxa"/>
            <w:tcBorders>
              <w:top w:val="single" w:sz="4" w:space="0" w:color="BBBBBB"/>
              <w:left w:val="single" w:sz="4" w:space="0" w:color="BBBBBB"/>
              <w:bottom w:val="single" w:sz="4" w:space="0" w:color="BBBBBB"/>
              <w:right w:val="single" w:sz="4" w:space="0" w:color="BBBBBB"/>
            </w:tcBorders>
            <w:shd w:val="clear" w:color="auto" w:fill="2E75B6"/>
            <w:tcMar>
              <w:top w:w="80" w:type="dxa"/>
              <w:left w:w="120" w:type="dxa"/>
              <w:bottom w:w="80" w:type="dxa"/>
              <w:right w:w="120" w:type="dxa"/>
            </w:tcMar>
            <w:vAlign w:val="center"/>
          </w:tcPr>
          <w:p w14:paraId="69948DE8" w14:textId="77777777" w:rsidR="00F52ED5" w:rsidRDefault="001541F8">
            <w:pPr>
              <w:jc w:val="center"/>
            </w:pPr>
            <w:r>
              <w:rPr>
                <w:b/>
                <w:bCs/>
                <w:color w:val="FFFFFF"/>
                <w:sz w:val="18"/>
                <w:szCs w:val="18"/>
              </w:rPr>
              <w:t>Valor pagado</w:t>
            </w:r>
          </w:p>
        </w:tc>
        <w:tc>
          <w:tcPr>
            <w:tcW w:w="3480" w:type="dxa"/>
            <w:tcBorders>
              <w:top w:val="single" w:sz="4" w:space="0" w:color="BBBBBB"/>
              <w:left w:val="single" w:sz="4" w:space="0" w:color="BBBBBB"/>
              <w:bottom w:val="single" w:sz="4" w:space="0" w:color="BBBBBB"/>
              <w:right w:val="single" w:sz="4" w:space="0" w:color="BBBBBB"/>
            </w:tcBorders>
            <w:shd w:val="clear" w:color="auto" w:fill="2E75B6"/>
            <w:tcMar>
              <w:top w:w="80" w:type="dxa"/>
              <w:left w:w="120" w:type="dxa"/>
              <w:bottom w:w="80" w:type="dxa"/>
              <w:right w:w="120" w:type="dxa"/>
            </w:tcMar>
            <w:vAlign w:val="center"/>
          </w:tcPr>
          <w:p w14:paraId="69948DE9" w14:textId="77777777" w:rsidR="00F52ED5" w:rsidRDefault="001541F8">
            <w:r>
              <w:rPr>
                <w:b/>
                <w:bCs/>
                <w:color w:val="FFFFFF"/>
                <w:sz w:val="18"/>
                <w:szCs w:val="18"/>
              </w:rPr>
              <w:t>Concepto / actividad principal</w:t>
            </w:r>
          </w:p>
        </w:tc>
        <w:tc>
          <w:tcPr>
            <w:tcW w:w="1800" w:type="dxa"/>
            <w:tcBorders>
              <w:top w:val="single" w:sz="4" w:space="0" w:color="BBBBBB"/>
              <w:left w:val="single" w:sz="4" w:space="0" w:color="BBBBBB"/>
              <w:bottom w:val="single" w:sz="4" w:space="0" w:color="BBBBBB"/>
              <w:right w:val="single" w:sz="4" w:space="0" w:color="BBBBBB"/>
            </w:tcBorders>
            <w:shd w:val="clear" w:color="auto" w:fill="2E75B6"/>
            <w:tcMar>
              <w:top w:w="80" w:type="dxa"/>
              <w:left w:w="120" w:type="dxa"/>
              <w:bottom w:w="80" w:type="dxa"/>
              <w:right w:w="120" w:type="dxa"/>
            </w:tcMar>
            <w:vAlign w:val="center"/>
          </w:tcPr>
          <w:p w14:paraId="69948DEA" w14:textId="77777777" w:rsidR="00F52ED5" w:rsidRDefault="001541F8">
            <w:r>
              <w:rPr>
                <w:b/>
                <w:bCs/>
                <w:color w:val="FFFFFF"/>
                <w:sz w:val="18"/>
                <w:szCs w:val="18"/>
              </w:rPr>
              <w:t>Observación</w:t>
            </w:r>
          </w:p>
        </w:tc>
      </w:tr>
      <w:tr w:rsidR="00F52ED5" w14:paraId="69948DF0" w14:textId="77777777">
        <w:tc>
          <w:tcPr>
            <w:tcW w:w="1400" w:type="dxa"/>
            <w:tcBorders>
              <w:top w:val="single" w:sz="4" w:space="0" w:color="BBBBBB"/>
              <w:left w:val="single" w:sz="4" w:space="0" w:color="BBBBBB"/>
              <w:bottom w:val="single" w:sz="4" w:space="0" w:color="BBBBBB"/>
              <w:right w:val="single" w:sz="4" w:space="0" w:color="BBBBBB"/>
            </w:tcBorders>
            <w:shd w:val="clear" w:color="auto" w:fill="FFFFFF"/>
            <w:tcMar>
              <w:top w:w="80" w:type="dxa"/>
              <w:left w:w="120" w:type="dxa"/>
              <w:bottom w:w="80" w:type="dxa"/>
              <w:right w:w="120" w:type="dxa"/>
            </w:tcMar>
            <w:vAlign w:val="center"/>
          </w:tcPr>
          <w:p w14:paraId="69948DEC" w14:textId="77777777" w:rsidR="00F52ED5" w:rsidRDefault="001541F8">
            <w:pPr>
              <w:jc w:val="center"/>
            </w:pPr>
            <w:r>
              <w:rPr>
                <w:b/>
                <w:bCs/>
                <w:color w:val="000000"/>
                <w:sz w:val="18"/>
                <w:szCs w:val="18"/>
              </w:rPr>
              <w:t>2022</w:t>
            </w:r>
          </w:p>
        </w:tc>
        <w:tc>
          <w:tcPr>
            <w:tcW w:w="2200" w:type="dxa"/>
            <w:tcBorders>
              <w:top w:val="single" w:sz="4" w:space="0" w:color="BBBBBB"/>
              <w:left w:val="single" w:sz="4" w:space="0" w:color="BBBBBB"/>
              <w:bottom w:val="single" w:sz="4" w:space="0" w:color="BBBBBB"/>
              <w:right w:val="single" w:sz="4" w:space="0" w:color="BBBBBB"/>
            </w:tcBorders>
            <w:shd w:val="clear" w:color="auto" w:fill="FFFFFF"/>
            <w:tcMar>
              <w:top w:w="80" w:type="dxa"/>
              <w:left w:w="120" w:type="dxa"/>
              <w:bottom w:w="80" w:type="dxa"/>
              <w:right w:w="120" w:type="dxa"/>
            </w:tcMar>
            <w:vAlign w:val="center"/>
          </w:tcPr>
          <w:p w14:paraId="69948DED" w14:textId="77777777" w:rsidR="00F52ED5" w:rsidRDefault="001541F8">
            <w:pPr>
              <w:jc w:val="center"/>
            </w:pPr>
            <w:r>
              <w:rPr>
                <w:color w:val="000000"/>
                <w:sz w:val="18"/>
                <w:szCs w:val="18"/>
              </w:rPr>
              <w:t>$1.147,1 M</w:t>
            </w:r>
          </w:p>
        </w:tc>
        <w:tc>
          <w:tcPr>
            <w:tcW w:w="3480" w:type="dxa"/>
            <w:tcBorders>
              <w:top w:val="single" w:sz="4" w:space="0" w:color="BBBBBB"/>
              <w:left w:val="single" w:sz="4" w:space="0" w:color="BBBBBB"/>
              <w:bottom w:val="single" w:sz="4" w:space="0" w:color="BBBBBB"/>
              <w:right w:val="single" w:sz="4" w:space="0" w:color="BBBBBB"/>
            </w:tcBorders>
            <w:shd w:val="clear" w:color="auto" w:fill="FFFFFF"/>
            <w:tcMar>
              <w:top w:w="80" w:type="dxa"/>
              <w:left w:w="120" w:type="dxa"/>
              <w:bottom w:w="80" w:type="dxa"/>
              <w:right w:w="120" w:type="dxa"/>
            </w:tcMar>
            <w:vAlign w:val="center"/>
          </w:tcPr>
          <w:p w14:paraId="69948DEE" w14:textId="77777777" w:rsidR="00F52ED5" w:rsidRDefault="001541F8">
            <w:r>
              <w:rPr>
                <w:color w:val="000000"/>
                <w:sz w:val="18"/>
                <w:szCs w:val="18"/>
              </w:rPr>
              <w:t>Inicio de operación de la Gerencia</w:t>
            </w:r>
          </w:p>
        </w:tc>
        <w:tc>
          <w:tcPr>
            <w:tcW w:w="1800" w:type="dxa"/>
            <w:tcBorders>
              <w:top w:val="single" w:sz="4" w:space="0" w:color="BBBBBB"/>
              <w:left w:val="single" w:sz="4" w:space="0" w:color="BBBBBB"/>
              <w:bottom w:val="single" w:sz="4" w:space="0" w:color="BBBBBB"/>
              <w:right w:val="single" w:sz="4" w:space="0" w:color="BBBBBB"/>
            </w:tcBorders>
            <w:shd w:val="clear" w:color="auto" w:fill="FFFFFF"/>
            <w:tcMar>
              <w:top w:w="80" w:type="dxa"/>
              <w:left w:w="120" w:type="dxa"/>
              <w:bottom w:w="80" w:type="dxa"/>
              <w:right w:w="120" w:type="dxa"/>
            </w:tcMar>
            <w:vAlign w:val="center"/>
          </w:tcPr>
          <w:p w14:paraId="69948DEF" w14:textId="77777777" w:rsidR="00F52ED5" w:rsidRDefault="001541F8">
            <w:r>
              <w:rPr>
                <w:color w:val="000000"/>
                <w:sz w:val="18"/>
                <w:szCs w:val="18"/>
              </w:rPr>
              <w:t>Fases 1 y 2 del contrato</w:t>
            </w:r>
          </w:p>
        </w:tc>
      </w:tr>
      <w:tr w:rsidR="00F52ED5" w14:paraId="69948DF5" w14:textId="77777777">
        <w:tc>
          <w:tcPr>
            <w:tcW w:w="1400" w:type="dxa"/>
            <w:tcBorders>
              <w:top w:val="single" w:sz="4" w:space="0" w:color="BBBBBB"/>
              <w:left w:val="single" w:sz="4" w:space="0" w:color="BBBBBB"/>
              <w:bottom w:val="single" w:sz="4" w:space="0" w:color="BBBBBB"/>
              <w:right w:val="single" w:sz="4" w:space="0" w:color="BBBBBB"/>
            </w:tcBorders>
            <w:shd w:val="clear" w:color="auto" w:fill="F2F2F2"/>
            <w:tcMar>
              <w:top w:w="80" w:type="dxa"/>
              <w:left w:w="120" w:type="dxa"/>
              <w:bottom w:w="80" w:type="dxa"/>
              <w:right w:w="120" w:type="dxa"/>
            </w:tcMar>
            <w:vAlign w:val="center"/>
          </w:tcPr>
          <w:p w14:paraId="69948DF1" w14:textId="77777777" w:rsidR="00F52ED5" w:rsidRDefault="001541F8">
            <w:pPr>
              <w:jc w:val="center"/>
            </w:pPr>
            <w:r>
              <w:rPr>
                <w:b/>
                <w:bCs/>
                <w:color w:val="000000"/>
                <w:sz w:val="18"/>
                <w:szCs w:val="18"/>
              </w:rPr>
              <w:t>2023</w:t>
            </w:r>
          </w:p>
        </w:tc>
        <w:tc>
          <w:tcPr>
            <w:tcW w:w="2200" w:type="dxa"/>
            <w:tcBorders>
              <w:top w:val="single" w:sz="4" w:space="0" w:color="BBBBBB"/>
              <w:left w:val="single" w:sz="4" w:space="0" w:color="BBBBBB"/>
              <w:bottom w:val="single" w:sz="4" w:space="0" w:color="BBBBBB"/>
              <w:right w:val="single" w:sz="4" w:space="0" w:color="BBBBBB"/>
            </w:tcBorders>
            <w:shd w:val="clear" w:color="auto" w:fill="F2F2F2"/>
            <w:tcMar>
              <w:top w:w="80" w:type="dxa"/>
              <w:left w:w="120" w:type="dxa"/>
              <w:bottom w:w="80" w:type="dxa"/>
              <w:right w:w="120" w:type="dxa"/>
            </w:tcMar>
            <w:vAlign w:val="center"/>
          </w:tcPr>
          <w:p w14:paraId="69948DF2" w14:textId="77777777" w:rsidR="00F52ED5" w:rsidRDefault="001541F8">
            <w:pPr>
              <w:jc w:val="center"/>
            </w:pPr>
            <w:r>
              <w:rPr>
                <w:color w:val="000000"/>
                <w:sz w:val="18"/>
                <w:szCs w:val="18"/>
              </w:rPr>
              <w:t>$3.676,8 M</w:t>
            </w:r>
          </w:p>
        </w:tc>
        <w:tc>
          <w:tcPr>
            <w:tcW w:w="3480" w:type="dxa"/>
            <w:tcBorders>
              <w:top w:val="single" w:sz="4" w:space="0" w:color="BBBBBB"/>
              <w:left w:val="single" w:sz="4" w:space="0" w:color="BBBBBB"/>
              <w:bottom w:val="single" w:sz="4" w:space="0" w:color="BBBBBB"/>
              <w:right w:val="single" w:sz="4" w:space="0" w:color="BBBBBB"/>
            </w:tcBorders>
            <w:shd w:val="clear" w:color="auto" w:fill="F2F2F2"/>
            <w:tcMar>
              <w:top w:w="80" w:type="dxa"/>
              <w:left w:w="120" w:type="dxa"/>
              <w:bottom w:w="80" w:type="dxa"/>
              <w:right w:w="120" w:type="dxa"/>
            </w:tcMar>
            <w:vAlign w:val="center"/>
          </w:tcPr>
          <w:p w14:paraId="69948DF3" w14:textId="77777777" w:rsidR="00F52ED5" w:rsidRDefault="001541F8">
            <w:r>
              <w:rPr>
                <w:color w:val="000000"/>
                <w:sz w:val="18"/>
                <w:szCs w:val="18"/>
              </w:rPr>
              <w:t>Estructuración técnica y lanzamiento de obras</w:t>
            </w:r>
          </w:p>
        </w:tc>
        <w:tc>
          <w:tcPr>
            <w:tcW w:w="1800" w:type="dxa"/>
            <w:tcBorders>
              <w:top w:val="single" w:sz="4" w:space="0" w:color="BBBBBB"/>
              <w:left w:val="single" w:sz="4" w:space="0" w:color="BBBBBB"/>
              <w:bottom w:val="single" w:sz="4" w:space="0" w:color="BBBBBB"/>
              <w:right w:val="single" w:sz="4" w:space="0" w:color="BBBBBB"/>
            </w:tcBorders>
            <w:shd w:val="clear" w:color="auto" w:fill="F2F2F2"/>
            <w:tcMar>
              <w:top w:w="80" w:type="dxa"/>
              <w:left w:w="120" w:type="dxa"/>
              <w:bottom w:w="80" w:type="dxa"/>
              <w:right w:w="120" w:type="dxa"/>
            </w:tcMar>
            <w:vAlign w:val="center"/>
          </w:tcPr>
          <w:p w14:paraId="69948DF4" w14:textId="77777777" w:rsidR="00F52ED5" w:rsidRDefault="001541F8">
            <w:r>
              <w:rPr>
                <w:color w:val="000000"/>
                <w:sz w:val="18"/>
                <w:szCs w:val="18"/>
              </w:rPr>
              <w:t>Licitaciones cuatro proyectos</w:t>
            </w:r>
          </w:p>
        </w:tc>
      </w:tr>
      <w:tr w:rsidR="00F52ED5" w14:paraId="69948DFA" w14:textId="77777777">
        <w:tc>
          <w:tcPr>
            <w:tcW w:w="1400" w:type="dxa"/>
            <w:tcBorders>
              <w:top w:val="single" w:sz="4" w:space="0" w:color="BBBBBB"/>
              <w:left w:val="single" w:sz="4" w:space="0" w:color="BBBBBB"/>
              <w:bottom w:val="single" w:sz="4" w:space="0" w:color="BBBBBB"/>
              <w:right w:val="single" w:sz="4" w:space="0" w:color="BBBBBB"/>
            </w:tcBorders>
            <w:shd w:val="clear" w:color="auto" w:fill="FFFFFF"/>
            <w:tcMar>
              <w:top w:w="80" w:type="dxa"/>
              <w:left w:w="120" w:type="dxa"/>
              <w:bottom w:w="80" w:type="dxa"/>
              <w:right w:w="120" w:type="dxa"/>
            </w:tcMar>
            <w:vAlign w:val="center"/>
          </w:tcPr>
          <w:p w14:paraId="69948DF6" w14:textId="77777777" w:rsidR="00F52ED5" w:rsidRDefault="001541F8">
            <w:pPr>
              <w:jc w:val="center"/>
            </w:pPr>
            <w:r>
              <w:rPr>
                <w:b/>
                <w:bCs/>
                <w:color w:val="000000"/>
                <w:sz w:val="18"/>
                <w:szCs w:val="18"/>
              </w:rPr>
              <w:t>2024</w:t>
            </w:r>
          </w:p>
        </w:tc>
        <w:tc>
          <w:tcPr>
            <w:tcW w:w="2200" w:type="dxa"/>
            <w:tcBorders>
              <w:top w:val="single" w:sz="4" w:space="0" w:color="BBBBBB"/>
              <w:left w:val="single" w:sz="4" w:space="0" w:color="BBBBBB"/>
              <w:bottom w:val="single" w:sz="4" w:space="0" w:color="BBBBBB"/>
              <w:right w:val="single" w:sz="4" w:space="0" w:color="BBBBBB"/>
            </w:tcBorders>
            <w:shd w:val="clear" w:color="auto" w:fill="FFFFFF"/>
            <w:tcMar>
              <w:top w:w="80" w:type="dxa"/>
              <w:left w:w="120" w:type="dxa"/>
              <w:bottom w:w="80" w:type="dxa"/>
              <w:right w:w="120" w:type="dxa"/>
            </w:tcMar>
            <w:vAlign w:val="center"/>
          </w:tcPr>
          <w:p w14:paraId="69948DF7" w14:textId="77777777" w:rsidR="00F52ED5" w:rsidRDefault="001541F8">
            <w:pPr>
              <w:jc w:val="center"/>
            </w:pPr>
            <w:r>
              <w:rPr>
                <w:color w:val="000000"/>
                <w:sz w:val="18"/>
                <w:szCs w:val="18"/>
              </w:rPr>
              <w:t>$3.628,4 M</w:t>
            </w:r>
          </w:p>
        </w:tc>
        <w:tc>
          <w:tcPr>
            <w:tcW w:w="3480" w:type="dxa"/>
            <w:tcBorders>
              <w:top w:val="single" w:sz="4" w:space="0" w:color="BBBBBB"/>
              <w:left w:val="single" w:sz="4" w:space="0" w:color="BBBBBB"/>
              <w:bottom w:val="single" w:sz="4" w:space="0" w:color="BBBBBB"/>
              <w:right w:val="single" w:sz="4" w:space="0" w:color="BBBBBB"/>
            </w:tcBorders>
            <w:shd w:val="clear" w:color="auto" w:fill="FFFFFF"/>
            <w:tcMar>
              <w:top w:w="80" w:type="dxa"/>
              <w:left w:w="120" w:type="dxa"/>
              <w:bottom w:w="80" w:type="dxa"/>
              <w:right w:w="120" w:type="dxa"/>
            </w:tcMar>
            <w:vAlign w:val="center"/>
          </w:tcPr>
          <w:p w14:paraId="69948DF8" w14:textId="77777777" w:rsidR="00F52ED5" w:rsidRDefault="001541F8">
            <w:r>
              <w:rPr>
                <w:color w:val="000000"/>
                <w:sz w:val="18"/>
                <w:szCs w:val="18"/>
              </w:rPr>
              <w:t>Ejecución plena de los cuatro proyectos</w:t>
            </w:r>
          </w:p>
        </w:tc>
        <w:tc>
          <w:tcPr>
            <w:tcW w:w="1800" w:type="dxa"/>
            <w:tcBorders>
              <w:top w:val="single" w:sz="4" w:space="0" w:color="BBBBBB"/>
              <w:left w:val="single" w:sz="4" w:space="0" w:color="BBBBBB"/>
              <w:bottom w:val="single" w:sz="4" w:space="0" w:color="BBBBBB"/>
              <w:right w:val="single" w:sz="4" w:space="0" w:color="BBBBBB"/>
            </w:tcBorders>
            <w:shd w:val="clear" w:color="auto" w:fill="FFFFFF"/>
            <w:tcMar>
              <w:top w:w="80" w:type="dxa"/>
              <w:left w:w="120" w:type="dxa"/>
              <w:bottom w:w="80" w:type="dxa"/>
              <w:right w:w="120" w:type="dxa"/>
            </w:tcMar>
            <w:vAlign w:val="center"/>
          </w:tcPr>
          <w:p w14:paraId="69948DF9" w14:textId="77777777" w:rsidR="00F52ED5" w:rsidRDefault="001541F8">
            <w:r>
              <w:rPr>
                <w:color w:val="000000"/>
                <w:sz w:val="18"/>
                <w:szCs w:val="18"/>
              </w:rPr>
              <w:t>Ritmo de obra sostenido</w:t>
            </w:r>
          </w:p>
        </w:tc>
      </w:tr>
      <w:tr w:rsidR="00F52ED5" w14:paraId="69948DFF" w14:textId="77777777">
        <w:tc>
          <w:tcPr>
            <w:tcW w:w="1400" w:type="dxa"/>
            <w:tcBorders>
              <w:top w:val="single" w:sz="4" w:space="0" w:color="BBBBBB"/>
              <w:left w:val="single" w:sz="4" w:space="0" w:color="BBBBBB"/>
              <w:bottom w:val="single" w:sz="4" w:space="0" w:color="BBBBBB"/>
              <w:right w:val="single" w:sz="4" w:space="0" w:color="BBBBBB"/>
            </w:tcBorders>
            <w:shd w:val="clear" w:color="auto" w:fill="F2F2F2"/>
            <w:tcMar>
              <w:top w:w="80" w:type="dxa"/>
              <w:left w:w="120" w:type="dxa"/>
              <w:bottom w:w="80" w:type="dxa"/>
              <w:right w:w="120" w:type="dxa"/>
            </w:tcMar>
            <w:vAlign w:val="center"/>
          </w:tcPr>
          <w:p w14:paraId="69948DFB" w14:textId="77777777" w:rsidR="00F52ED5" w:rsidRDefault="001541F8">
            <w:pPr>
              <w:jc w:val="center"/>
            </w:pPr>
            <w:r>
              <w:rPr>
                <w:b/>
                <w:bCs/>
                <w:color w:val="000000"/>
                <w:sz w:val="18"/>
                <w:szCs w:val="18"/>
              </w:rPr>
              <w:t>2025</w:t>
            </w:r>
          </w:p>
        </w:tc>
        <w:tc>
          <w:tcPr>
            <w:tcW w:w="2200" w:type="dxa"/>
            <w:tcBorders>
              <w:top w:val="single" w:sz="4" w:space="0" w:color="BBBBBB"/>
              <w:left w:val="single" w:sz="4" w:space="0" w:color="BBBBBB"/>
              <w:bottom w:val="single" w:sz="4" w:space="0" w:color="BBBBBB"/>
              <w:right w:val="single" w:sz="4" w:space="0" w:color="BBBBBB"/>
            </w:tcBorders>
            <w:shd w:val="clear" w:color="auto" w:fill="F2F2F2"/>
            <w:tcMar>
              <w:top w:w="80" w:type="dxa"/>
              <w:left w:w="120" w:type="dxa"/>
              <w:bottom w:w="80" w:type="dxa"/>
              <w:right w:w="120" w:type="dxa"/>
            </w:tcMar>
            <w:vAlign w:val="center"/>
          </w:tcPr>
          <w:p w14:paraId="69948DFC" w14:textId="77777777" w:rsidR="00F52ED5" w:rsidRDefault="001541F8">
            <w:pPr>
              <w:jc w:val="center"/>
            </w:pPr>
            <w:r>
              <w:rPr>
                <w:color w:val="000000"/>
                <w:sz w:val="18"/>
                <w:szCs w:val="18"/>
              </w:rPr>
              <w:t>$7.329,7 M</w:t>
            </w:r>
          </w:p>
        </w:tc>
        <w:tc>
          <w:tcPr>
            <w:tcW w:w="3480" w:type="dxa"/>
            <w:tcBorders>
              <w:top w:val="single" w:sz="4" w:space="0" w:color="BBBBBB"/>
              <w:left w:val="single" w:sz="4" w:space="0" w:color="BBBBBB"/>
              <w:bottom w:val="single" w:sz="4" w:space="0" w:color="BBBBBB"/>
              <w:right w:val="single" w:sz="4" w:space="0" w:color="BBBBBB"/>
            </w:tcBorders>
            <w:shd w:val="clear" w:color="auto" w:fill="F2F2F2"/>
            <w:tcMar>
              <w:top w:w="80" w:type="dxa"/>
              <w:left w:w="120" w:type="dxa"/>
              <w:bottom w:w="80" w:type="dxa"/>
              <w:right w:w="120" w:type="dxa"/>
            </w:tcMar>
            <w:vAlign w:val="center"/>
          </w:tcPr>
          <w:p w14:paraId="69948DFD" w14:textId="77777777" w:rsidR="00F52ED5" w:rsidRDefault="001541F8">
            <w:r>
              <w:rPr>
                <w:color w:val="000000"/>
                <w:sz w:val="18"/>
                <w:szCs w:val="18"/>
              </w:rPr>
              <w:t>Aceleración de obras y gestión de reformulaciones</w:t>
            </w:r>
          </w:p>
        </w:tc>
        <w:tc>
          <w:tcPr>
            <w:tcW w:w="1800" w:type="dxa"/>
            <w:tcBorders>
              <w:top w:val="single" w:sz="4" w:space="0" w:color="BBBBBB"/>
              <w:left w:val="single" w:sz="4" w:space="0" w:color="BBBBBB"/>
              <w:bottom w:val="single" w:sz="4" w:space="0" w:color="BBBBBB"/>
              <w:right w:val="single" w:sz="4" w:space="0" w:color="BBBBBB"/>
            </w:tcBorders>
            <w:shd w:val="clear" w:color="auto" w:fill="F2F2F2"/>
            <w:tcMar>
              <w:top w:w="80" w:type="dxa"/>
              <w:left w:w="120" w:type="dxa"/>
              <w:bottom w:w="80" w:type="dxa"/>
              <w:right w:w="120" w:type="dxa"/>
            </w:tcMar>
            <w:vAlign w:val="center"/>
          </w:tcPr>
          <w:p w14:paraId="69948DFE" w14:textId="77777777" w:rsidR="00F52ED5" w:rsidRDefault="001541F8">
            <w:r>
              <w:rPr>
                <w:color w:val="000000"/>
                <w:sz w:val="18"/>
                <w:szCs w:val="18"/>
              </w:rPr>
              <w:t>Mayor desembolso del período</w:t>
            </w:r>
          </w:p>
        </w:tc>
      </w:tr>
      <w:tr w:rsidR="00F52ED5" w14:paraId="69948E04" w14:textId="77777777">
        <w:tc>
          <w:tcPr>
            <w:tcW w:w="1400" w:type="dxa"/>
            <w:tcBorders>
              <w:top w:val="single" w:sz="4" w:space="0" w:color="BBBBBB"/>
              <w:left w:val="single" w:sz="4" w:space="0" w:color="BBBBBB"/>
              <w:bottom w:val="single" w:sz="4" w:space="0" w:color="BBBBBB"/>
              <w:right w:val="single" w:sz="4" w:space="0" w:color="BBBBBB"/>
            </w:tcBorders>
            <w:shd w:val="clear" w:color="auto" w:fill="FFFFFF"/>
            <w:tcMar>
              <w:top w:w="80" w:type="dxa"/>
              <w:left w:w="120" w:type="dxa"/>
              <w:bottom w:w="80" w:type="dxa"/>
              <w:right w:w="120" w:type="dxa"/>
            </w:tcMar>
            <w:vAlign w:val="center"/>
          </w:tcPr>
          <w:p w14:paraId="69948E00" w14:textId="77777777" w:rsidR="00F52ED5" w:rsidRDefault="001541F8">
            <w:pPr>
              <w:jc w:val="center"/>
            </w:pPr>
            <w:r>
              <w:rPr>
                <w:b/>
                <w:bCs/>
                <w:color w:val="000000"/>
                <w:sz w:val="18"/>
                <w:szCs w:val="18"/>
              </w:rPr>
              <w:t>2026 (a abr.)</w:t>
            </w:r>
          </w:p>
        </w:tc>
        <w:tc>
          <w:tcPr>
            <w:tcW w:w="2200" w:type="dxa"/>
            <w:tcBorders>
              <w:top w:val="single" w:sz="4" w:space="0" w:color="BBBBBB"/>
              <w:left w:val="single" w:sz="4" w:space="0" w:color="BBBBBB"/>
              <w:bottom w:val="single" w:sz="4" w:space="0" w:color="BBBBBB"/>
              <w:right w:val="single" w:sz="4" w:space="0" w:color="BBBBBB"/>
            </w:tcBorders>
            <w:shd w:val="clear" w:color="auto" w:fill="FFFFFF"/>
            <w:tcMar>
              <w:top w:w="80" w:type="dxa"/>
              <w:left w:w="120" w:type="dxa"/>
              <w:bottom w:w="80" w:type="dxa"/>
              <w:right w:w="120" w:type="dxa"/>
            </w:tcMar>
            <w:vAlign w:val="center"/>
          </w:tcPr>
          <w:p w14:paraId="69948E01" w14:textId="77777777" w:rsidR="00F52ED5" w:rsidRDefault="001541F8">
            <w:pPr>
              <w:jc w:val="center"/>
            </w:pPr>
            <w:r>
              <w:rPr>
                <w:color w:val="000000"/>
                <w:sz w:val="18"/>
                <w:szCs w:val="18"/>
              </w:rPr>
              <w:t>$2.123,1 M</w:t>
            </w:r>
          </w:p>
        </w:tc>
        <w:tc>
          <w:tcPr>
            <w:tcW w:w="3480" w:type="dxa"/>
            <w:tcBorders>
              <w:top w:val="single" w:sz="4" w:space="0" w:color="BBBBBB"/>
              <w:left w:val="single" w:sz="4" w:space="0" w:color="BBBBBB"/>
              <w:bottom w:val="single" w:sz="4" w:space="0" w:color="BBBBBB"/>
              <w:right w:val="single" w:sz="4" w:space="0" w:color="BBBBBB"/>
            </w:tcBorders>
            <w:shd w:val="clear" w:color="auto" w:fill="FFFFFF"/>
            <w:tcMar>
              <w:top w:w="80" w:type="dxa"/>
              <w:left w:w="120" w:type="dxa"/>
              <w:bottom w:w="80" w:type="dxa"/>
              <w:right w:w="120" w:type="dxa"/>
            </w:tcMar>
            <w:vAlign w:val="center"/>
          </w:tcPr>
          <w:p w14:paraId="69948E02" w14:textId="77777777" w:rsidR="00F52ED5" w:rsidRDefault="001541F8">
            <w:r>
              <w:rPr>
                <w:color w:val="000000"/>
                <w:sz w:val="18"/>
                <w:szCs w:val="18"/>
              </w:rPr>
              <w:t>Cierre de etapas y seguimiento final</w:t>
            </w:r>
          </w:p>
        </w:tc>
        <w:tc>
          <w:tcPr>
            <w:tcW w:w="1800" w:type="dxa"/>
            <w:tcBorders>
              <w:top w:val="single" w:sz="4" w:space="0" w:color="BBBBBB"/>
              <w:left w:val="single" w:sz="4" w:space="0" w:color="BBBBBB"/>
              <w:bottom w:val="single" w:sz="4" w:space="0" w:color="BBBBBB"/>
              <w:right w:val="single" w:sz="4" w:space="0" w:color="BBBBBB"/>
            </w:tcBorders>
            <w:shd w:val="clear" w:color="auto" w:fill="FFFFFF"/>
            <w:tcMar>
              <w:top w:w="80" w:type="dxa"/>
              <w:left w:w="120" w:type="dxa"/>
              <w:bottom w:w="80" w:type="dxa"/>
              <w:right w:w="120" w:type="dxa"/>
            </w:tcMar>
            <w:vAlign w:val="center"/>
          </w:tcPr>
          <w:p w14:paraId="69948E03" w14:textId="77777777" w:rsidR="00F52ED5" w:rsidRDefault="001541F8">
            <w:r>
              <w:rPr>
                <w:color w:val="000000"/>
                <w:sz w:val="18"/>
                <w:szCs w:val="18"/>
              </w:rPr>
              <w:t>En curso</w:t>
            </w:r>
          </w:p>
        </w:tc>
      </w:tr>
      <w:tr w:rsidR="00F52ED5" w14:paraId="69948E09" w14:textId="77777777">
        <w:tc>
          <w:tcPr>
            <w:tcW w:w="1400" w:type="dxa"/>
            <w:tcBorders>
              <w:top w:val="single" w:sz="4" w:space="0" w:color="BBBBBB"/>
              <w:left w:val="single" w:sz="4" w:space="0" w:color="BBBBBB"/>
              <w:bottom w:val="single" w:sz="4" w:space="0" w:color="BBBBBB"/>
              <w:right w:val="single" w:sz="4" w:space="0" w:color="BBBBBB"/>
            </w:tcBorders>
            <w:shd w:val="clear" w:color="auto" w:fill="D6E4F0"/>
            <w:tcMar>
              <w:top w:w="80" w:type="dxa"/>
              <w:left w:w="120" w:type="dxa"/>
              <w:bottom w:w="80" w:type="dxa"/>
              <w:right w:w="120" w:type="dxa"/>
            </w:tcMar>
            <w:vAlign w:val="center"/>
          </w:tcPr>
          <w:p w14:paraId="69948E05" w14:textId="77777777" w:rsidR="00F52ED5" w:rsidRDefault="001541F8">
            <w:pPr>
              <w:jc w:val="center"/>
            </w:pPr>
            <w:r>
              <w:rPr>
                <w:b/>
                <w:bCs/>
                <w:color w:val="000000"/>
                <w:sz w:val="18"/>
                <w:szCs w:val="18"/>
              </w:rPr>
              <w:t>TOTAL</w:t>
            </w:r>
          </w:p>
        </w:tc>
        <w:tc>
          <w:tcPr>
            <w:tcW w:w="2200" w:type="dxa"/>
            <w:tcBorders>
              <w:top w:val="single" w:sz="4" w:space="0" w:color="BBBBBB"/>
              <w:left w:val="single" w:sz="4" w:space="0" w:color="BBBBBB"/>
              <w:bottom w:val="single" w:sz="4" w:space="0" w:color="BBBBBB"/>
              <w:right w:val="single" w:sz="4" w:space="0" w:color="BBBBBB"/>
            </w:tcBorders>
            <w:shd w:val="clear" w:color="auto" w:fill="D6E4F0"/>
            <w:tcMar>
              <w:top w:w="80" w:type="dxa"/>
              <w:left w:w="120" w:type="dxa"/>
              <w:bottom w:w="80" w:type="dxa"/>
              <w:right w:w="120" w:type="dxa"/>
            </w:tcMar>
            <w:vAlign w:val="center"/>
          </w:tcPr>
          <w:p w14:paraId="69948E06" w14:textId="77777777" w:rsidR="00F52ED5" w:rsidRDefault="001541F8">
            <w:pPr>
              <w:jc w:val="center"/>
            </w:pPr>
            <w:r>
              <w:rPr>
                <w:b/>
                <w:bCs/>
                <w:color w:val="000000"/>
                <w:sz w:val="18"/>
                <w:szCs w:val="18"/>
              </w:rPr>
              <w:t>$17.905,1 M</w:t>
            </w:r>
          </w:p>
        </w:tc>
        <w:tc>
          <w:tcPr>
            <w:tcW w:w="3480" w:type="dxa"/>
            <w:tcBorders>
              <w:top w:val="single" w:sz="4" w:space="0" w:color="BBBBBB"/>
              <w:left w:val="single" w:sz="4" w:space="0" w:color="BBBBBB"/>
              <w:bottom w:val="single" w:sz="4" w:space="0" w:color="BBBBBB"/>
              <w:right w:val="single" w:sz="4" w:space="0" w:color="BBBBBB"/>
            </w:tcBorders>
            <w:shd w:val="clear" w:color="auto" w:fill="D6E4F0"/>
            <w:tcMar>
              <w:top w:w="80" w:type="dxa"/>
              <w:left w:w="120" w:type="dxa"/>
              <w:bottom w:w="80" w:type="dxa"/>
              <w:right w:w="120" w:type="dxa"/>
            </w:tcMar>
            <w:vAlign w:val="center"/>
          </w:tcPr>
          <w:p w14:paraId="69948E07" w14:textId="77777777" w:rsidR="00F52ED5" w:rsidRDefault="001541F8">
            <w:r>
              <w:rPr>
                <w:b/>
                <w:bCs/>
                <w:color w:val="000000"/>
                <w:sz w:val="18"/>
                <w:szCs w:val="18"/>
              </w:rPr>
              <w:t>Honorarios pagados al cierre del gobierno</w:t>
            </w:r>
          </w:p>
        </w:tc>
        <w:tc>
          <w:tcPr>
            <w:tcW w:w="1800" w:type="dxa"/>
            <w:tcBorders>
              <w:top w:val="single" w:sz="4" w:space="0" w:color="BBBBBB"/>
              <w:left w:val="single" w:sz="4" w:space="0" w:color="BBBBBB"/>
              <w:bottom w:val="single" w:sz="4" w:space="0" w:color="BBBBBB"/>
              <w:right w:val="single" w:sz="4" w:space="0" w:color="BBBBBB"/>
            </w:tcBorders>
            <w:shd w:val="clear" w:color="auto" w:fill="D6E4F0"/>
            <w:tcMar>
              <w:top w:w="80" w:type="dxa"/>
              <w:left w:w="120" w:type="dxa"/>
              <w:bottom w:w="80" w:type="dxa"/>
              <w:right w:w="120" w:type="dxa"/>
            </w:tcMar>
            <w:vAlign w:val="center"/>
          </w:tcPr>
          <w:p w14:paraId="69948E08" w14:textId="77777777" w:rsidR="00F52ED5" w:rsidRDefault="00F52ED5"/>
        </w:tc>
      </w:tr>
      <w:tr w:rsidR="00F52ED5" w14:paraId="69948E0E" w14:textId="77777777">
        <w:tc>
          <w:tcPr>
            <w:tcW w:w="1400" w:type="dxa"/>
            <w:tcBorders>
              <w:top w:val="single" w:sz="4" w:space="0" w:color="BBBBBB"/>
              <w:left w:val="single" w:sz="4" w:space="0" w:color="BBBBBB"/>
              <w:bottom w:val="single" w:sz="4" w:space="0" w:color="BBBBBB"/>
              <w:right w:val="single" w:sz="4" w:space="0" w:color="BBBBBB"/>
            </w:tcBorders>
            <w:shd w:val="clear" w:color="auto" w:fill="D6E4F0"/>
            <w:tcMar>
              <w:top w:w="80" w:type="dxa"/>
              <w:left w:w="120" w:type="dxa"/>
              <w:bottom w:w="80" w:type="dxa"/>
              <w:right w:w="120" w:type="dxa"/>
            </w:tcMar>
            <w:vAlign w:val="center"/>
          </w:tcPr>
          <w:p w14:paraId="69948E0A" w14:textId="77777777" w:rsidR="00F52ED5" w:rsidRDefault="001541F8">
            <w:pPr>
              <w:jc w:val="center"/>
            </w:pPr>
            <w:r>
              <w:rPr>
                <w:b/>
                <w:bCs/>
                <w:color w:val="000000"/>
                <w:sz w:val="18"/>
                <w:szCs w:val="18"/>
              </w:rPr>
              <w:t>Proyección total 2026</w:t>
            </w:r>
          </w:p>
        </w:tc>
        <w:tc>
          <w:tcPr>
            <w:tcW w:w="2200" w:type="dxa"/>
            <w:tcBorders>
              <w:top w:val="single" w:sz="4" w:space="0" w:color="BBBBBB"/>
              <w:left w:val="single" w:sz="4" w:space="0" w:color="BBBBBB"/>
              <w:bottom w:val="single" w:sz="4" w:space="0" w:color="BBBBBB"/>
              <w:right w:val="single" w:sz="4" w:space="0" w:color="BBBBBB"/>
            </w:tcBorders>
            <w:shd w:val="clear" w:color="auto" w:fill="D6E4F0"/>
            <w:tcMar>
              <w:top w:w="80" w:type="dxa"/>
              <w:left w:w="120" w:type="dxa"/>
              <w:bottom w:w="80" w:type="dxa"/>
              <w:right w:w="120" w:type="dxa"/>
            </w:tcMar>
            <w:vAlign w:val="center"/>
          </w:tcPr>
          <w:p w14:paraId="69948E0B" w14:textId="77777777" w:rsidR="00F52ED5" w:rsidRDefault="001541F8">
            <w:pPr>
              <w:jc w:val="center"/>
            </w:pPr>
            <w:r>
              <w:rPr>
                <w:b/>
                <w:bCs/>
                <w:color w:val="000000"/>
                <w:sz w:val="18"/>
                <w:szCs w:val="18"/>
              </w:rPr>
              <w:t>$7.839,8 M</w:t>
            </w:r>
          </w:p>
        </w:tc>
        <w:tc>
          <w:tcPr>
            <w:tcW w:w="3480" w:type="dxa"/>
            <w:tcBorders>
              <w:top w:val="single" w:sz="4" w:space="0" w:color="BBBBBB"/>
              <w:left w:val="single" w:sz="4" w:space="0" w:color="BBBBBB"/>
              <w:bottom w:val="single" w:sz="4" w:space="0" w:color="BBBBBB"/>
              <w:right w:val="single" w:sz="4" w:space="0" w:color="BBBBBB"/>
            </w:tcBorders>
            <w:shd w:val="clear" w:color="auto" w:fill="D6E4F0"/>
            <w:tcMar>
              <w:top w:w="80" w:type="dxa"/>
              <w:left w:w="120" w:type="dxa"/>
              <w:bottom w:w="80" w:type="dxa"/>
              <w:right w:w="120" w:type="dxa"/>
            </w:tcMar>
            <w:vAlign w:val="center"/>
          </w:tcPr>
          <w:p w14:paraId="69948E0C" w14:textId="77777777" w:rsidR="00F52ED5" w:rsidRDefault="001541F8">
            <w:r>
              <w:rPr>
                <w:b/>
                <w:bCs/>
                <w:color w:val="000000"/>
                <w:sz w:val="18"/>
                <w:szCs w:val="18"/>
              </w:rPr>
              <w:t>Incluye compromisos de cierre y otrosíes pendientes</w:t>
            </w:r>
          </w:p>
        </w:tc>
        <w:tc>
          <w:tcPr>
            <w:tcW w:w="1800" w:type="dxa"/>
            <w:tcBorders>
              <w:top w:val="single" w:sz="4" w:space="0" w:color="BBBBBB"/>
              <w:left w:val="single" w:sz="4" w:space="0" w:color="BBBBBB"/>
              <w:bottom w:val="single" w:sz="4" w:space="0" w:color="BBBBBB"/>
              <w:right w:val="single" w:sz="4" w:space="0" w:color="BBBBBB"/>
            </w:tcBorders>
            <w:shd w:val="clear" w:color="auto" w:fill="D6E4F0"/>
            <w:tcMar>
              <w:top w:w="80" w:type="dxa"/>
              <w:left w:w="120" w:type="dxa"/>
              <w:bottom w:w="80" w:type="dxa"/>
              <w:right w:w="120" w:type="dxa"/>
            </w:tcMar>
            <w:vAlign w:val="center"/>
          </w:tcPr>
          <w:p w14:paraId="69948E0D" w14:textId="77777777" w:rsidR="00F52ED5" w:rsidRDefault="001541F8">
            <w:r>
              <w:rPr>
                <w:b/>
                <w:bCs/>
                <w:color w:val="000000"/>
                <w:sz w:val="18"/>
                <w:szCs w:val="18"/>
              </w:rPr>
              <w:t>Estimado</w:t>
            </w:r>
          </w:p>
        </w:tc>
      </w:tr>
    </w:tbl>
    <w:p w14:paraId="69948E0F" w14:textId="77777777" w:rsidR="00F52ED5" w:rsidRDefault="00F52ED5">
      <w:pPr>
        <w:spacing w:after="120"/>
      </w:pPr>
    </w:p>
    <w:p w14:paraId="69948E48" w14:textId="77777777" w:rsidR="00F52ED5" w:rsidRDefault="001541F8">
      <w:r>
        <w:br w:type="page"/>
      </w:r>
    </w:p>
    <w:p w14:paraId="69948E49" w14:textId="4C1CDCC1" w:rsidR="00F52ED5" w:rsidRDefault="001541F8">
      <w:pPr>
        <w:pStyle w:val="Ttulo1"/>
      </w:pPr>
      <w:r>
        <w:lastRenderedPageBreak/>
        <w:t>5. Logros Destacados del Período de</w:t>
      </w:r>
      <w:r w:rsidR="0085076B">
        <w:t>l Programa</w:t>
      </w:r>
    </w:p>
    <w:p w14:paraId="69948E4A" w14:textId="77777777" w:rsidR="00F52ED5" w:rsidRDefault="001541F8">
      <w:pPr>
        <w:pStyle w:val="Ttulo2"/>
      </w:pPr>
      <w:r>
        <w:t>5.1 Logros institucionales y de gestión</w:t>
      </w:r>
    </w:p>
    <w:p w14:paraId="69948E4B" w14:textId="77777777" w:rsidR="00F52ED5" w:rsidRDefault="001541F8" w:rsidP="00595ABF">
      <w:pPr>
        <w:pStyle w:val="Prrafodelista"/>
        <w:numPr>
          <w:ilvl w:val="0"/>
          <w:numId w:val="2"/>
        </w:numPr>
        <w:spacing w:before="60" w:after="60"/>
        <w:jc w:val="both"/>
      </w:pPr>
      <w:r>
        <w:t>Estructuración y adjudicación exitosa de los cuatro procesos licitatorios del Componente 1 bajo las políticas del BID, con al menos dos oferentes calificados por proceso, en un departamento históricamente poco atractivo para el mercado constructor.</w:t>
      </w:r>
    </w:p>
    <w:p w14:paraId="69948E4C" w14:textId="77777777" w:rsidR="00F52ED5" w:rsidRDefault="001541F8" w:rsidP="00595ABF">
      <w:pPr>
        <w:pStyle w:val="Prrafodelista"/>
        <w:numPr>
          <w:ilvl w:val="0"/>
          <w:numId w:val="2"/>
        </w:numPr>
        <w:spacing w:before="60" w:after="60"/>
        <w:jc w:val="both"/>
      </w:pPr>
      <w:r>
        <w:t>Gestión de la declaratoria de Importancia Estratégica del Proyecto de Inversión (CONPES 4059), que aseguró el espacio fiscal multianual (2022-2026) para la ejecución ininterrumpida de los proyectos.</w:t>
      </w:r>
    </w:p>
    <w:p w14:paraId="69948E4D" w14:textId="77777777" w:rsidR="00F52ED5" w:rsidRDefault="001541F8" w:rsidP="00595ABF">
      <w:pPr>
        <w:pStyle w:val="Prrafodelista"/>
        <w:numPr>
          <w:ilvl w:val="0"/>
          <w:numId w:val="2"/>
        </w:numPr>
        <w:spacing w:before="60" w:after="60"/>
        <w:jc w:val="both"/>
      </w:pPr>
      <w:r>
        <w:t>Parametrización exitosa de las dos donaciones internacionales en el SIIF, superando un proceso que históricamente tomaba 6 meses y que fue gestionado de manera directa por la UCP con capacitación especializada en el MHCP.</w:t>
      </w:r>
    </w:p>
    <w:p w14:paraId="69948E4E" w14:textId="77777777" w:rsidR="00F52ED5" w:rsidRDefault="001541F8" w:rsidP="00595ABF">
      <w:pPr>
        <w:pStyle w:val="Prrafodelista"/>
        <w:numPr>
          <w:ilvl w:val="0"/>
          <w:numId w:val="2"/>
        </w:numPr>
        <w:spacing w:before="60" w:after="60"/>
        <w:jc w:val="both"/>
      </w:pPr>
      <w:r>
        <w:t>Actualización continua de presupuestos de obra en el contexto de alta inflación (2022-2023) y gestión de reformulaciones ante el Comité Técnico del Viceministerio, que permitieron mantener la viabilidad económica de todos los contratos.</w:t>
      </w:r>
    </w:p>
    <w:p w14:paraId="69948E4F" w14:textId="77777777" w:rsidR="00F52ED5" w:rsidRDefault="001541F8" w:rsidP="00595ABF">
      <w:pPr>
        <w:pStyle w:val="Prrafodelista"/>
        <w:numPr>
          <w:ilvl w:val="0"/>
          <w:numId w:val="2"/>
        </w:numPr>
        <w:spacing w:before="60" w:after="60"/>
        <w:jc w:val="both"/>
      </w:pPr>
      <w:r>
        <w:t>Suscripción de convenios interadministrativos con los municipios de Riohacha (marzo 2023), Fonseca (abril 2023) y Urumita (junio 2023), dando cumplimiento a las condiciones especiales de ejecución del Contrato de Préstamo.</w:t>
      </w:r>
    </w:p>
    <w:p w14:paraId="69948E50" w14:textId="0BE4A952" w:rsidR="00F52ED5" w:rsidRDefault="001541F8" w:rsidP="00595ABF">
      <w:pPr>
        <w:pStyle w:val="Prrafodelista"/>
        <w:numPr>
          <w:ilvl w:val="0"/>
          <w:numId w:val="2"/>
        </w:numPr>
        <w:spacing w:before="60" w:after="60"/>
        <w:jc w:val="both"/>
      </w:pPr>
      <w:r>
        <w:t xml:space="preserve">Aprobación exitosa de la Auditoría del Programa </w:t>
      </w:r>
      <w:r w:rsidR="00B245D1">
        <w:t xml:space="preserve">en las </w:t>
      </w:r>
      <w:r>
        <w:t>vigencia</w:t>
      </w:r>
      <w:r w:rsidR="00B245D1">
        <w:t>s</w:t>
      </w:r>
      <w:r>
        <w:t xml:space="preserve"> </w:t>
      </w:r>
      <w:r w:rsidR="00B245D1">
        <w:t>2021-</w:t>
      </w:r>
      <w:r>
        <w:t>202</w:t>
      </w:r>
      <w:r w:rsidR="00B245D1">
        <w:t>5</w:t>
      </w:r>
      <w:r>
        <w:t xml:space="preserve"> y realización de la Evaluación de Medio Término, con resultados satisfactorios en gestión financiera y técnica.</w:t>
      </w:r>
    </w:p>
    <w:p w14:paraId="69948E51" w14:textId="77777777" w:rsidR="00F52ED5" w:rsidRDefault="001541F8" w:rsidP="00595ABF">
      <w:pPr>
        <w:pStyle w:val="Prrafodelista"/>
        <w:numPr>
          <w:ilvl w:val="0"/>
          <w:numId w:val="2"/>
        </w:numPr>
        <w:spacing w:before="60" w:after="60"/>
        <w:jc w:val="both"/>
      </w:pPr>
      <w:r>
        <w:t>Auditoría CGR No. CGR-CDVSB-019-2026 sobre el desempeño del MVCT en La Guajira: resultado favorable "Sin Reservas".</w:t>
      </w:r>
    </w:p>
    <w:p w14:paraId="69948E52" w14:textId="02C070A6" w:rsidR="00F52ED5" w:rsidRDefault="001541F8" w:rsidP="00595ABF">
      <w:pPr>
        <w:pStyle w:val="Prrafodelista"/>
        <w:numPr>
          <w:ilvl w:val="0"/>
          <w:numId w:val="2"/>
        </w:numPr>
        <w:spacing w:before="60" w:after="60"/>
        <w:jc w:val="both"/>
      </w:pPr>
      <w:r>
        <w:t>Obtención del permiso de ocupación de vía nacional ante INVIAS para los tres cruces de los sistemas de alcantarillado pluvial y sanitario de Fonseca</w:t>
      </w:r>
      <w:r w:rsidR="00E50CF1">
        <w:t xml:space="preserve"> y del cruce del acueducto de Fonseca</w:t>
      </w:r>
      <w:r>
        <w:t>, desbloqueando una restricción crítica que venía limitando el avance del proyecto.</w:t>
      </w:r>
    </w:p>
    <w:p w14:paraId="69948E53" w14:textId="4B34128F" w:rsidR="00F52ED5" w:rsidRDefault="001541F8" w:rsidP="00595ABF">
      <w:pPr>
        <w:pStyle w:val="Prrafodelista"/>
        <w:numPr>
          <w:ilvl w:val="0"/>
          <w:numId w:val="2"/>
        </w:numPr>
        <w:spacing w:before="60" w:after="60"/>
        <w:jc w:val="both"/>
      </w:pPr>
      <w:r>
        <w:t xml:space="preserve">Obtención del permiso de ocupación de cauce ante Corpoguajira para los viaductos de la aducción – tramo 2 del acueducto de Urumita, </w:t>
      </w:r>
      <w:r w:rsidR="000B712E">
        <w:t xml:space="preserve">del viaducto de la conducción del acueducto de Fonseca y de la descarga del alcantarillado pluvial de Fonseca </w:t>
      </w:r>
      <w:r>
        <w:t xml:space="preserve">habilitando la ejecución de este componente crítico, junto con la adición de recursos aprobada para </w:t>
      </w:r>
      <w:r w:rsidR="000B712E">
        <w:t>los proyectos</w:t>
      </w:r>
      <w:r>
        <w:t>.</w:t>
      </w:r>
    </w:p>
    <w:p w14:paraId="69948E54" w14:textId="77777777" w:rsidR="00F52ED5" w:rsidRDefault="001541F8" w:rsidP="00595ABF">
      <w:pPr>
        <w:pStyle w:val="Prrafodelista"/>
        <w:numPr>
          <w:ilvl w:val="0"/>
          <w:numId w:val="2"/>
        </w:numPr>
        <w:spacing w:before="60" w:after="60"/>
        <w:jc w:val="both"/>
      </w:pPr>
      <w:r>
        <w:t>Postulación del Programa al concurso Superhéroes del BID, reconocido por la innovación en la gestión del espacio fiscal, la atracción del mercado y la continuidad del equipo ejecutor como factores críticos de éxito.</w:t>
      </w:r>
    </w:p>
    <w:p w14:paraId="69948E56" w14:textId="77777777" w:rsidR="00F52ED5" w:rsidRDefault="001541F8">
      <w:pPr>
        <w:pStyle w:val="Ttulo2"/>
      </w:pPr>
      <w:r>
        <w:t>5.2 Logros técnicos y sociales</w:t>
      </w:r>
    </w:p>
    <w:p w14:paraId="69948E57" w14:textId="77777777" w:rsidR="00F52ED5" w:rsidRDefault="001541F8" w:rsidP="00160B18">
      <w:pPr>
        <w:pStyle w:val="Prrafodelista"/>
        <w:numPr>
          <w:ilvl w:val="0"/>
          <w:numId w:val="2"/>
        </w:numPr>
        <w:spacing w:before="60" w:after="60"/>
        <w:jc w:val="both"/>
      </w:pPr>
      <w:r>
        <w:t>Mejoras documentadas en presión y continuidad del servicio de acueducto en los sectores hidráulicos 6, 7 y 8 de la Comuna 10 de Riohacha, con más de 53 km de redes nuevas instaladas.</w:t>
      </w:r>
    </w:p>
    <w:p w14:paraId="69948E58" w14:textId="77777777" w:rsidR="00F52ED5" w:rsidRDefault="001541F8" w:rsidP="00160B18">
      <w:pPr>
        <w:pStyle w:val="Prrafodelista"/>
        <w:numPr>
          <w:ilvl w:val="0"/>
          <w:numId w:val="2"/>
        </w:numPr>
        <w:spacing w:before="60" w:after="60"/>
        <w:jc w:val="both"/>
      </w:pPr>
      <w:r>
        <w:t>Más de 3.800 habitantes del barrio El Carmen de Fonseca beneficiados con el nuevo sistema de alcantarillado sanitario en plena operación.</w:t>
      </w:r>
    </w:p>
    <w:p w14:paraId="69948E59" w14:textId="77777777" w:rsidR="00F52ED5" w:rsidRDefault="001541F8" w:rsidP="00160B18">
      <w:pPr>
        <w:pStyle w:val="Prrafodelista"/>
        <w:numPr>
          <w:ilvl w:val="0"/>
          <w:numId w:val="2"/>
        </w:numPr>
        <w:spacing w:before="60" w:after="60"/>
        <w:jc w:val="both"/>
      </w:pPr>
      <w:r>
        <w:t>Inicio de pagos de obra en Urumita (febrero 2025) y aceleración significativa a partir de septiembre 2025, recuperando el ritmo de ejecución con un plan de choque en curso.</w:t>
      </w:r>
    </w:p>
    <w:p w14:paraId="69948E5A" w14:textId="77777777" w:rsidR="00F52ED5" w:rsidRDefault="001541F8" w:rsidP="00160B18">
      <w:pPr>
        <w:pStyle w:val="Prrafodelista"/>
        <w:numPr>
          <w:ilvl w:val="0"/>
          <w:numId w:val="2"/>
        </w:numPr>
        <w:spacing w:before="60" w:after="60"/>
        <w:jc w:val="both"/>
      </w:pPr>
      <w:r>
        <w:t>Entregas parciales certificadas de los proyectos de Riohacha, Fonseca (acueducto) y Fonseca (alcantarillado) en diciembre de 2025.</w:t>
      </w:r>
    </w:p>
    <w:p w14:paraId="69948E5B" w14:textId="77777777" w:rsidR="00F52ED5" w:rsidRDefault="001541F8" w:rsidP="00160B18">
      <w:pPr>
        <w:pStyle w:val="Prrafodelista"/>
        <w:numPr>
          <w:ilvl w:val="0"/>
          <w:numId w:val="2"/>
        </w:numPr>
        <w:spacing w:before="60" w:after="60"/>
        <w:jc w:val="both"/>
      </w:pPr>
      <w:r>
        <w:t>Gestión social continua con comunidades, incluyendo 64.000 hogares beneficiados (incluyendo hogares migrantes venezolanos).</w:t>
      </w:r>
    </w:p>
    <w:p w14:paraId="69948E5C" w14:textId="77777777" w:rsidR="00F52ED5" w:rsidRDefault="001541F8" w:rsidP="00160B18">
      <w:pPr>
        <w:pStyle w:val="Prrafodelista"/>
        <w:numPr>
          <w:ilvl w:val="0"/>
          <w:numId w:val="2"/>
        </w:numPr>
        <w:spacing w:before="60" w:after="60"/>
        <w:jc w:val="both"/>
      </w:pPr>
      <w:r>
        <w:t>Diseños para los sistemas de acueducto de El Molino y Villanueva: análisis geodésico, topografía, exploración de suelos, predial y alternativas de diseño completados.</w:t>
      </w:r>
    </w:p>
    <w:p w14:paraId="69948E5D" w14:textId="77777777" w:rsidR="00F52ED5" w:rsidRDefault="001541F8">
      <w:r>
        <w:br w:type="page"/>
      </w:r>
    </w:p>
    <w:p w14:paraId="69948E5E" w14:textId="77777777" w:rsidR="00F52ED5" w:rsidRDefault="001541F8">
      <w:pPr>
        <w:pStyle w:val="Ttulo1"/>
      </w:pPr>
      <w:r>
        <w:lastRenderedPageBreak/>
        <w:t>6. Retos Pendientes y Recomendaciones para el Nuevo Gobierno</w:t>
      </w:r>
    </w:p>
    <w:p w14:paraId="69948E5F" w14:textId="77777777" w:rsidR="00F52ED5" w:rsidRDefault="001541F8">
      <w:pPr>
        <w:spacing w:before="80" w:after="80" w:line="276" w:lineRule="auto"/>
        <w:jc w:val="both"/>
      </w:pPr>
      <w:r>
        <w:rPr>
          <w:color w:val="000000"/>
        </w:rPr>
        <w:t>El Programa se encuentra en su fase final de ejecución, con un horizonte de cierre del Préstamo fijado el 23 de diciembre de 2026. A continuación se presentan los principales retos pendientes y las acciones que se recomiendan al equipo entrante para garantizar una conclusión exitosa.</w:t>
      </w:r>
    </w:p>
    <w:p w14:paraId="69948E61" w14:textId="77777777" w:rsidR="00F52ED5" w:rsidRDefault="001541F8">
      <w:pPr>
        <w:pStyle w:val="Ttulo2"/>
      </w:pPr>
      <w:r>
        <w:t>6.1 Cierre de las obras del Componente 1</w:t>
      </w:r>
    </w:p>
    <w:p w14:paraId="69948E62" w14:textId="77777777" w:rsidR="00F52ED5" w:rsidRDefault="001541F8">
      <w:pPr>
        <w:spacing w:before="80" w:after="80" w:line="276" w:lineRule="auto"/>
        <w:jc w:val="both"/>
      </w:pPr>
      <w:r>
        <w:rPr>
          <w:color w:val="000000"/>
        </w:rPr>
        <w:t>La siguiente tabla resume las brechas de recursos identificadas por proyecto y las acciones recomendadas al nuevo gobierno:</w:t>
      </w:r>
    </w:p>
    <w:tbl>
      <w:tblPr>
        <w:tblW w:w="88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2000"/>
        <w:gridCol w:w="1600"/>
        <w:gridCol w:w="3480"/>
        <w:gridCol w:w="1800"/>
      </w:tblGrid>
      <w:tr w:rsidR="00F52ED5" w14:paraId="69948E68" w14:textId="77777777" w:rsidTr="00B531C9">
        <w:trPr>
          <w:tblHeader/>
          <w:jc w:val="center"/>
        </w:trPr>
        <w:tc>
          <w:tcPr>
            <w:tcW w:w="2000" w:type="dxa"/>
            <w:tcBorders>
              <w:top w:val="single" w:sz="4" w:space="0" w:color="BBBBBB"/>
              <w:left w:val="single" w:sz="4" w:space="0" w:color="BBBBBB"/>
              <w:bottom w:val="single" w:sz="4" w:space="0" w:color="BBBBBB"/>
              <w:right w:val="single" w:sz="4" w:space="0" w:color="BBBBBB"/>
            </w:tcBorders>
            <w:shd w:val="clear" w:color="auto" w:fill="1F4E79"/>
            <w:tcMar>
              <w:top w:w="80" w:type="dxa"/>
              <w:left w:w="120" w:type="dxa"/>
              <w:bottom w:w="80" w:type="dxa"/>
              <w:right w:w="120" w:type="dxa"/>
            </w:tcMar>
            <w:vAlign w:val="center"/>
          </w:tcPr>
          <w:p w14:paraId="69948E64" w14:textId="77777777" w:rsidR="00F52ED5" w:rsidRDefault="001541F8">
            <w:r>
              <w:rPr>
                <w:b/>
                <w:bCs/>
                <w:color w:val="FFFFFF"/>
                <w:sz w:val="18"/>
                <w:szCs w:val="18"/>
              </w:rPr>
              <w:t>Proyecto</w:t>
            </w:r>
          </w:p>
        </w:tc>
        <w:tc>
          <w:tcPr>
            <w:tcW w:w="1600" w:type="dxa"/>
            <w:tcBorders>
              <w:top w:val="single" w:sz="4" w:space="0" w:color="BBBBBB"/>
              <w:left w:val="single" w:sz="4" w:space="0" w:color="BBBBBB"/>
              <w:bottom w:val="single" w:sz="4" w:space="0" w:color="BBBBBB"/>
              <w:right w:val="single" w:sz="4" w:space="0" w:color="BBBBBB"/>
            </w:tcBorders>
            <w:shd w:val="clear" w:color="auto" w:fill="1F4E79"/>
            <w:tcMar>
              <w:top w:w="80" w:type="dxa"/>
              <w:left w:w="120" w:type="dxa"/>
              <w:bottom w:w="80" w:type="dxa"/>
              <w:right w:w="120" w:type="dxa"/>
            </w:tcMar>
            <w:vAlign w:val="center"/>
          </w:tcPr>
          <w:p w14:paraId="69948E65" w14:textId="77777777" w:rsidR="00F52ED5" w:rsidRDefault="001541F8">
            <w:pPr>
              <w:jc w:val="center"/>
            </w:pPr>
            <w:r>
              <w:rPr>
                <w:b/>
                <w:bCs/>
                <w:color w:val="FFFFFF"/>
                <w:sz w:val="18"/>
                <w:szCs w:val="18"/>
              </w:rPr>
              <w:t>Recursos adicionales requeridos</w:t>
            </w:r>
          </w:p>
        </w:tc>
        <w:tc>
          <w:tcPr>
            <w:tcW w:w="3480" w:type="dxa"/>
            <w:tcBorders>
              <w:top w:val="single" w:sz="4" w:space="0" w:color="BBBBBB"/>
              <w:left w:val="single" w:sz="4" w:space="0" w:color="BBBBBB"/>
              <w:bottom w:val="single" w:sz="4" w:space="0" w:color="BBBBBB"/>
              <w:right w:val="single" w:sz="4" w:space="0" w:color="BBBBBB"/>
            </w:tcBorders>
            <w:shd w:val="clear" w:color="auto" w:fill="1F4E79"/>
            <w:tcMar>
              <w:top w:w="80" w:type="dxa"/>
              <w:left w:w="120" w:type="dxa"/>
              <w:bottom w:w="80" w:type="dxa"/>
              <w:right w:w="120" w:type="dxa"/>
            </w:tcMar>
            <w:vAlign w:val="center"/>
          </w:tcPr>
          <w:p w14:paraId="69948E66" w14:textId="77777777" w:rsidR="00F52ED5" w:rsidRDefault="001541F8">
            <w:r>
              <w:rPr>
                <w:b/>
                <w:bCs/>
                <w:color w:val="FFFFFF"/>
                <w:sz w:val="18"/>
                <w:szCs w:val="18"/>
              </w:rPr>
              <w:t>Alcance pendiente</w:t>
            </w:r>
          </w:p>
        </w:tc>
        <w:tc>
          <w:tcPr>
            <w:tcW w:w="1800" w:type="dxa"/>
            <w:tcBorders>
              <w:top w:val="single" w:sz="4" w:space="0" w:color="BBBBBB"/>
              <w:left w:val="single" w:sz="4" w:space="0" w:color="BBBBBB"/>
              <w:bottom w:val="single" w:sz="4" w:space="0" w:color="BBBBBB"/>
              <w:right w:val="single" w:sz="4" w:space="0" w:color="BBBBBB"/>
            </w:tcBorders>
            <w:shd w:val="clear" w:color="auto" w:fill="1F4E79"/>
            <w:tcMar>
              <w:top w:w="80" w:type="dxa"/>
              <w:left w:w="120" w:type="dxa"/>
              <w:bottom w:w="80" w:type="dxa"/>
              <w:right w:w="120" w:type="dxa"/>
            </w:tcMar>
            <w:vAlign w:val="center"/>
          </w:tcPr>
          <w:p w14:paraId="69948E67" w14:textId="77777777" w:rsidR="00F52ED5" w:rsidRDefault="001541F8">
            <w:pPr>
              <w:jc w:val="center"/>
            </w:pPr>
            <w:r>
              <w:rPr>
                <w:b/>
                <w:bCs/>
                <w:color w:val="FFFFFF"/>
                <w:sz w:val="18"/>
                <w:szCs w:val="18"/>
              </w:rPr>
              <w:t>Prioridad</w:t>
            </w:r>
          </w:p>
        </w:tc>
      </w:tr>
      <w:tr w:rsidR="00F52ED5" w14:paraId="69948E6D" w14:textId="77777777" w:rsidTr="00B531C9">
        <w:trPr>
          <w:jc w:val="center"/>
        </w:trPr>
        <w:tc>
          <w:tcPr>
            <w:tcW w:w="2000" w:type="dxa"/>
            <w:tcBorders>
              <w:top w:val="single" w:sz="4" w:space="0" w:color="BBBBBB"/>
              <w:left w:val="single" w:sz="4" w:space="0" w:color="BBBBBB"/>
              <w:bottom w:val="single" w:sz="4" w:space="0" w:color="BBBBBB"/>
              <w:right w:val="single" w:sz="4" w:space="0" w:color="BBBBBB"/>
            </w:tcBorders>
            <w:shd w:val="clear" w:color="auto" w:fill="FFFFFF"/>
            <w:tcMar>
              <w:top w:w="80" w:type="dxa"/>
              <w:left w:w="120" w:type="dxa"/>
              <w:bottom w:w="80" w:type="dxa"/>
              <w:right w:w="120" w:type="dxa"/>
            </w:tcMar>
            <w:vAlign w:val="center"/>
          </w:tcPr>
          <w:p w14:paraId="69948E69" w14:textId="77777777" w:rsidR="00F52ED5" w:rsidRDefault="001541F8">
            <w:r>
              <w:rPr>
                <w:b/>
                <w:bCs/>
                <w:color w:val="000000"/>
                <w:sz w:val="18"/>
                <w:szCs w:val="18"/>
              </w:rPr>
              <w:t>Acueducto de Riohacha</w:t>
            </w:r>
          </w:p>
        </w:tc>
        <w:tc>
          <w:tcPr>
            <w:tcW w:w="1600" w:type="dxa"/>
            <w:tcBorders>
              <w:top w:val="single" w:sz="4" w:space="0" w:color="BBBBBB"/>
              <w:left w:val="single" w:sz="4" w:space="0" w:color="BBBBBB"/>
              <w:bottom w:val="single" w:sz="4" w:space="0" w:color="BBBBBB"/>
              <w:right w:val="single" w:sz="4" w:space="0" w:color="BBBBBB"/>
            </w:tcBorders>
            <w:shd w:val="clear" w:color="auto" w:fill="FFFFFF"/>
            <w:tcMar>
              <w:top w:w="80" w:type="dxa"/>
              <w:left w:w="120" w:type="dxa"/>
              <w:bottom w:w="80" w:type="dxa"/>
              <w:right w:w="120" w:type="dxa"/>
            </w:tcMar>
            <w:vAlign w:val="center"/>
          </w:tcPr>
          <w:p w14:paraId="69948E6A" w14:textId="77777777" w:rsidR="00F52ED5" w:rsidRDefault="001541F8">
            <w:pPr>
              <w:jc w:val="center"/>
            </w:pPr>
            <w:r>
              <w:rPr>
                <w:b/>
                <w:bCs/>
                <w:color w:val="1E7145"/>
                <w:sz w:val="18"/>
                <w:szCs w:val="18"/>
              </w:rPr>
              <w:t>~$12.000 M</w:t>
            </w:r>
          </w:p>
        </w:tc>
        <w:tc>
          <w:tcPr>
            <w:tcW w:w="3480" w:type="dxa"/>
            <w:tcBorders>
              <w:top w:val="single" w:sz="4" w:space="0" w:color="BBBBBB"/>
              <w:left w:val="single" w:sz="4" w:space="0" w:color="BBBBBB"/>
              <w:bottom w:val="single" w:sz="4" w:space="0" w:color="BBBBBB"/>
              <w:right w:val="single" w:sz="4" w:space="0" w:color="BBBBBB"/>
            </w:tcBorders>
            <w:shd w:val="clear" w:color="auto" w:fill="FFFFFF"/>
            <w:tcMar>
              <w:top w:w="80" w:type="dxa"/>
              <w:left w:w="120" w:type="dxa"/>
              <w:bottom w:w="80" w:type="dxa"/>
              <w:right w:w="120" w:type="dxa"/>
            </w:tcMar>
            <w:vAlign w:val="center"/>
          </w:tcPr>
          <w:p w14:paraId="69948E6B" w14:textId="77777777" w:rsidR="00F52ED5" w:rsidRDefault="001541F8">
            <w:proofErr w:type="spellStart"/>
            <w:r>
              <w:rPr>
                <w:color w:val="000000"/>
                <w:sz w:val="18"/>
                <w:szCs w:val="18"/>
              </w:rPr>
              <w:t>Micromedición</w:t>
            </w:r>
            <w:proofErr w:type="spellEnd"/>
            <w:r>
              <w:rPr>
                <w:color w:val="000000"/>
                <w:sz w:val="18"/>
                <w:szCs w:val="18"/>
              </w:rPr>
              <w:t xml:space="preserve"> (78% faltante) y ampliación de cobertura hasta el barrio Villa Fátima</w:t>
            </w:r>
          </w:p>
        </w:tc>
        <w:tc>
          <w:tcPr>
            <w:tcW w:w="1800" w:type="dxa"/>
            <w:tcBorders>
              <w:top w:val="single" w:sz="4" w:space="0" w:color="BBBBBB"/>
              <w:left w:val="single" w:sz="4" w:space="0" w:color="BBBBBB"/>
              <w:bottom w:val="single" w:sz="4" w:space="0" w:color="BBBBBB"/>
              <w:right w:val="single" w:sz="4" w:space="0" w:color="BBBBBB"/>
            </w:tcBorders>
            <w:shd w:val="clear" w:color="auto" w:fill="FFFFFF"/>
            <w:tcMar>
              <w:top w:w="80" w:type="dxa"/>
              <w:left w:w="120" w:type="dxa"/>
              <w:bottom w:w="80" w:type="dxa"/>
              <w:right w:w="120" w:type="dxa"/>
            </w:tcMar>
            <w:vAlign w:val="center"/>
          </w:tcPr>
          <w:p w14:paraId="69948E6C" w14:textId="77777777" w:rsidR="00F52ED5" w:rsidRDefault="001541F8">
            <w:pPr>
              <w:jc w:val="center"/>
            </w:pPr>
            <w:r>
              <w:rPr>
                <w:color w:val="000000"/>
                <w:sz w:val="18"/>
                <w:szCs w:val="18"/>
              </w:rPr>
              <w:t>Alta</w:t>
            </w:r>
          </w:p>
        </w:tc>
      </w:tr>
      <w:tr w:rsidR="00F52ED5" w14:paraId="69948E72" w14:textId="77777777" w:rsidTr="00B531C9">
        <w:trPr>
          <w:jc w:val="center"/>
        </w:trPr>
        <w:tc>
          <w:tcPr>
            <w:tcW w:w="2000" w:type="dxa"/>
            <w:tcBorders>
              <w:top w:val="single" w:sz="4" w:space="0" w:color="BBBBBB"/>
              <w:left w:val="single" w:sz="4" w:space="0" w:color="BBBBBB"/>
              <w:bottom w:val="single" w:sz="4" w:space="0" w:color="BBBBBB"/>
              <w:right w:val="single" w:sz="4" w:space="0" w:color="BBBBBB"/>
            </w:tcBorders>
            <w:shd w:val="clear" w:color="auto" w:fill="F2F2F2"/>
            <w:tcMar>
              <w:top w:w="80" w:type="dxa"/>
              <w:left w:w="120" w:type="dxa"/>
              <w:bottom w:w="80" w:type="dxa"/>
              <w:right w:w="120" w:type="dxa"/>
            </w:tcMar>
            <w:vAlign w:val="center"/>
          </w:tcPr>
          <w:p w14:paraId="69948E6E" w14:textId="77777777" w:rsidR="00F52ED5" w:rsidRDefault="001541F8">
            <w:r>
              <w:rPr>
                <w:b/>
                <w:bCs/>
                <w:color w:val="000000"/>
                <w:sz w:val="18"/>
                <w:szCs w:val="18"/>
              </w:rPr>
              <w:t>Acueducto de Fonseca</w:t>
            </w:r>
          </w:p>
        </w:tc>
        <w:tc>
          <w:tcPr>
            <w:tcW w:w="1600" w:type="dxa"/>
            <w:tcBorders>
              <w:top w:val="single" w:sz="4" w:space="0" w:color="BBBBBB"/>
              <w:left w:val="single" w:sz="4" w:space="0" w:color="BBBBBB"/>
              <w:bottom w:val="single" w:sz="4" w:space="0" w:color="BBBBBB"/>
              <w:right w:val="single" w:sz="4" w:space="0" w:color="BBBBBB"/>
            </w:tcBorders>
            <w:shd w:val="clear" w:color="auto" w:fill="F2F2F2"/>
            <w:tcMar>
              <w:top w:w="80" w:type="dxa"/>
              <w:left w:w="120" w:type="dxa"/>
              <w:bottom w:w="80" w:type="dxa"/>
              <w:right w:w="120" w:type="dxa"/>
            </w:tcMar>
            <w:vAlign w:val="center"/>
          </w:tcPr>
          <w:p w14:paraId="69948E6F" w14:textId="77777777" w:rsidR="00F52ED5" w:rsidRDefault="001541F8">
            <w:pPr>
              <w:jc w:val="center"/>
            </w:pPr>
            <w:r>
              <w:rPr>
                <w:b/>
                <w:bCs/>
                <w:color w:val="1E7145"/>
                <w:sz w:val="18"/>
                <w:szCs w:val="18"/>
              </w:rPr>
              <w:t>~$8.000 M</w:t>
            </w:r>
          </w:p>
        </w:tc>
        <w:tc>
          <w:tcPr>
            <w:tcW w:w="3480" w:type="dxa"/>
            <w:tcBorders>
              <w:top w:val="single" w:sz="4" w:space="0" w:color="BBBBBB"/>
              <w:left w:val="single" w:sz="4" w:space="0" w:color="BBBBBB"/>
              <w:bottom w:val="single" w:sz="4" w:space="0" w:color="BBBBBB"/>
              <w:right w:val="single" w:sz="4" w:space="0" w:color="BBBBBB"/>
            </w:tcBorders>
            <w:shd w:val="clear" w:color="auto" w:fill="F2F2F2"/>
            <w:tcMar>
              <w:top w:w="80" w:type="dxa"/>
              <w:left w:w="120" w:type="dxa"/>
              <w:bottom w:w="80" w:type="dxa"/>
              <w:right w:w="120" w:type="dxa"/>
            </w:tcMar>
            <w:vAlign w:val="center"/>
          </w:tcPr>
          <w:p w14:paraId="69948E70" w14:textId="77777777" w:rsidR="00F52ED5" w:rsidRDefault="001541F8">
            <w:r>
              <w:rPr>
                <w:color w:val="000000"/>
                <w:sz w:val="18"/>
                <w:szCs w:val="18"/>
              </w:rPr>
              <w:t>Rehabilitación de los tanques elevados de almacenamiento</w:t>
            </w:r>
          </w:p>
        </w:tc>
        <w:tc>
          <w:tcPr>
            <w:tcW w:w="1800" w:type="dxa"/>
            <w:tcBorders>
              <w:top w:val="single" w:sz="4" w:space="0" w:color="BBBBBB"/>
              <w:left w:val="single" w:sz="4" w:space="0" w:color="BBBBBB"/>
              <w:bottom w:val="single" w:sz="4" w:space="0" w:color="BBBBBB"/>
              <w:right w:val="single" w:sz="4" w:space="0" w:color="BBBBBB"/>
            </w:tcBorders>
            <w:shd w:val="clear" w:color="auto" w:fill="F2F2F2"/>
            <w:tcMar>
              <w:top w:w="80" w:type="dxa"/>
              <w:left w:w="120" w:type="dxa"/>
              <w:bottom w:w="80" w:type="dxa"/>
              <w:right w:w="120" w:type="dxa"/>
            </w:tcMar>
            <w:vAlign w:val="center"/>
          </w:tcPr>
          <w:p w14:paraId="69948E71" w14:textId="77777777" w:rsidR="00F52ED5" w:rsidRDefault="001541F8">
            <w:pPr>
              <w:jc w:val="center"/>
            </w:pPr>
            <w:r>
              <w:rPr>
                <w:color w:val="000000"/>
                <w:sz w:val="18"/>
                <w:szCs w:val="18"/>
              </w:rPr>
              <w:t>Alta</w:t>
            </w:r>
          </w:p>
        </w:tc>
      </w:tr>
      <w:tr w:rsidR="00F52ED5" w14:paraId="69948E77" w14:textId="77777777" w:rsidTr="00B531C9">
        <w:trPr>
          <w:jc w:val="center"/>
        </w:trPr>
        <w:tc>
          <w:tcPr>
            <w:tcW w:w="2000" w:type="dxa"/>
            <w:tcBorders>
              <w:top w:val="single" w:sz="4" w:space="0" w:color="BBBBBB"/>
              <w:left w:val="single" w:sz="4" w:space="0" w:color="BBBBBB"/>
              <w:bottom w:val="single" w:sz="4" w:space="0" w:color="BBBBBB"/>
              <w:right w:val="single" w:sz="4" w:space="0" w:color="BBBBBB"/>
            </w:tcBorders>
            <w:shd w:val="clear" w:color="auto" w:fill="FFFFFF"/>
            <w:tcMar>
              <w:top w:w="80" w:type="dxa"/>
              <w:left w:w="120" w:type="dxa"/>
              <w:bottom w:w="80" w:type="dxa"/>
              <w:right w:w="120" w:type="dxa"/>
            </w:tcMar>
            <w:vAlign w:val="center"/>
          </w:tcPr>
          <w:p w14:paraId="69948E73" w14:textId="77777777" w:rsidR="00F52ED5" w:rsidRDefault="001541F8">
            <w:r>
              <w:rPr>
                <w:b/>
                <w:bCs/>
                <w:color w:val="000000"/>
                <w:sz w:val="18"/>
                <w:szCs w:val="18"/>
              </w:rPr>
              <w:t>Alcantarillado de Fonseca</w:t>
            </w:r>
          </w:p>
        </w:tc>
        <w:tc>
          <w:tcPr>
            <w:tcW w:w="1600" w:type="dxa"/>
            <w:tcBorders>
              <w:top w:val="single" w:sz="4" w:space="0" w:color="BBBBBB"/>
              <w:left w:val="single" w:sz="4" w:space="0" w:color="BBBBBB"/>
              <w:bottom w:val="single" w:sz="4" w:space="0" w:color="BBBBBB"/>
              <w:right w:val="single" w:sz="4" w:space="0" w:color="BBBBBB"/>
            </w:tcBorders>
            <w:shd w:val="clear" w:color="auto" w:fill="FFFFFF"/>
            <w:tcMar>
              <w:top w:w="80" w:type="dxa"/>
              <w:left w:w="120" w:type="dxa"/>
              <w:bottom w:w="80" w:type="dxa"/>
              <w:right w:w="120" w:type="dxa"/>
            </w:tcMar>
            <w:vAlign w:val="center"/>
          </w:tcPr>
          <w:p w14:paraId="69948E74" w14:textId="77777777" w:rsidR="00F52ED5" w:rsidRDefault="001541F8">
            <w:pPr>
              <w:jc w:val="center"/>
            </w:pPr>
            <w:r>
              <w:rPr>
                <w:b/>
                <w:bCs/>
                <w:color w:val="1E7145"/>
                <w:sz w:val="18"/>
                <w:szCs w:val="18"/>
              </w:rPr>
              <w:t>~$4.000 M</w:t>
            </w:r>
          </w:p>
        </w:tc>
        <w:tc>
          <w:tcPr>
            <w:tcW w:w="3480" w:type="dxa"/>
            <w:tcBorders>
              <w:top w:val="single" w:sz="4" w:space="0" w:color="BBBBBB"/>
              <w:left w:val="single" w:sz="4" w:space="0" w:color="BBBBBB"/>
              <w:bottom w:val="single" w:sz="4" w:space="0" w:color="BBBBBB"/>
              <w:right w:val="single" w:sz="4" w:space="0" w:color="BBBBBB"/>
            </w:tcBorders>
            <w:shd w:val="clear" w:color="auto" w:fill="FFFFFF"/>
            <w:tcMar>
              <w:top w:w="80" w:type="dxa"/>
              <w:left w:w="120" w:type="dxa"/>
              <w:bottom w:w="80" w:type="dxa"/>
              <w:right w:w="120" w:type="dxa"/>
            </w:tcMar>
            <w:vAlign w:val="center"/>
          </w:tcPr>
          <w:p w14:paraId="69948E75" w14:textId="77777777" w:rsidR="00F52ED5" w:rsidRDefault="001541F8">
            <w:r>
              <w:rPr>
                <w:color w:val="000000"/>
                <w:sz w:val="18"/>
                <w:szCs w:val="18"/>
              </w:rPr>
              <w:t>Reposición de vías afectadas por la intervención del alcantarillado (obras complementarias de pavimentación)</w:t>
            </w:r>
          </w:p>
        </w:tc>
        <w:tc>
          <w:tcPr>
            <w:tcW w:w="1800" w:type="dxa"/>
            <w:tcBorders>
              <w:top w:val="single" w:sz="4" w:space="0" w:color="BBBBBB"/>
              <w:left w:val="single" w:sz="4" w:space="0" w:color="BBBBBB"/>
              <w:bottom w:val="single" w:sz="4" w:space="0" w:color="BBBBBB"/>
              <w:right w:val="single" w:sz="4" w:space="0" w:color="BBBBBB"/>
            </w:tcBorders>
            <w:shd w:val="clear" w:color="auto" w:fill="FFFFFF"/>
            <w:tcMar>
              <w:top w:w="80" w:type="dxa"/>
              <w:left w:w="120" w:type="dxa"/>
              <w:bottom w:w="80" w:type="dxa"/>
              <w:right w:w="120" w:type="dxa"/>
            </w:tcMar>
            <w:vAlign w:val="center"/>
          </w:tcPr>
          <w:p w14:paraId="69948E76" w14:textId="77777777" w:rsidR="00F52ED5" w:rsidRDefault="001541F8">
            <w:pPr>
              <w:jc w:val="center"/>
            </w:pPr>
            <w:r>
              <w:rPr>
                <w:color w:val="000000"/>
                <w:sz w:val="18"/>
                <w:szCs w:val="18"/>
              </w:rPr>
              <w:t>Media</w:t>
            </w:r>
          </w:p>
        </w:tc>
      </w:tr>
      <w:tr w:rsidR="00F52ED5" w14:paraId="69948E7C" w14:textId="77777777" w:rsidTr="00B531C9">
        <w:trPr>
          <w:jc w:val="center"/>
        </w:trPr>
        <w:tc>
          <w:tcPr>
            <w:tcW w:w="2000" w:type="dxa"/>
            <w:tcBorders>
              <w:top w:val="single" w:sz="4" w:space="0" w:color="BBBBBB"/>
              <w:left w:val="single" w:sz="4" w:space="0" w:color="BBBBBB"/>
              <w:bottom w:val="single" w:sz="4" w:space="0" w:color="BBBBBB"/>
              <w:right w:val="single" w:sz="4" w:space="0" w:color="BBBBBB"/>
            </w:tcBorders>
            <w:shd w:val="clear" w:color="auto" w:fill="F2F2F2"/>
            <w:tcMar>
              <w:top w:w="80" w:type="dxa"/>
              <w:left w:w="120" w:type="dxa"/>
              <w:bottom w:w="80" w:type="dxa"/>
              <w:right w:w="120" w:type="dxa"/>
            </w:tcMar>
            <w:vAlign w:val="center"/>
          </w:tcPr>
          <w:p w14:paraId="69948E78" w14:textId="77777777" w:rsidR="00F52ED5" w:rsidRDefault="001541F8">
            <w:r>
              <w:rPr>
                <w:b/>
                <w:bCs/>
                <w:color w:val="000000"/>
                <w:sz w:val="18"/>
                <w:szCs w:val="18"/>
              </w:rPr>
              <w:t>Acueducto de Urumita</w:t>
            </w:r>
          </w:p>
        </w:tc>
        <w:tc>
          <w:tcPr>
            <w:tcW w:w="1600" w:type="dxa"/>
            <w:tcBorders>
              <w:top w:val="single" w:sz="4" w:space="0" w:color="BBBBBB"/>
              <w:left w:val="single" w:sz="4" w:space="0" w:color="BBBBBB"/>
              <w:bottom w:val="single" w:sz="4" w:space="0" w:color="BBBBBB"/>
              <w:right w:val="single" w:sz="4" w:space="0" w:color="BBBBBB"/>
            </w:tcBorders>
            <w:shd w:val="clear" w:color="auto" w:fill="F2F2F2"/>
            <w:tcMar>
              <w:top w:w="80" w:type="dxa"/>
              <w:left w:w="120" w:type="dxa"/>
              <w:bottom w:w="80" w:type="dxa"/>
              <w:right w:w="120" w:type="dxa"/>
            </w:tcMar>
            <w:vAlign w:val="center"/>
          </w:tcPr>
          <w:p w14:paraId="69948E79" w14:textId="77777777" w:rsidR="00F52ED5" w:rsidRDefault="001541F8">
            <w:pPr>
              <w:jc w:val="center"/>
            </w:pPr>
            <w:r>
              <w:rPr>
                <w:b/>
                <w:bCs/>
                <w:color w:val="1E7145"/>
                <w:sz w:val="18"/>
                <w:szCs w:val="18"/>
              </w:rPr>
              <w:t>~$6.000 M</w:t>
            </w:r>
          </w:p>
        </w:tc>
        <w:tc>
          <w:tcPr>
            <w:tcW w:w="3480" w:type="dxa"/>
            <w:tcBorders>
              <w:top w:val="single" w:sz="4" w:space="0" w:color="BBBBBB"/>
              <w:left w:val="single" w:sz="4" w:space="0" w:color="BBBBBB"/>
              <w:bottom w:val="single" w:sz="4" w:space="0" w:color="BBBBBB"/>
              <w:right w:val="single" w:sz="4" w:space="0" w:color="BBBBBB"/>
            </w:tcBorders>
            <w:shd w:val="clear" w:color="auto" w:fill="F2F2F2"/>
            <w:tcMar>
              <w:top w:w="80" w:type="dxa"/>
              <w:left w:w="120" w:type="dxa"/>
              <w:bottom w:w="80" w:type="dxa"/>
              <w:right w:w="120" w:type="dxa"/>
            </w:tcMar>
            <w:vAlign w:val="center"/>
          </w:tcPr>
          <w:p w14:paraId="69948E7A" w14:textId="77777777" w:rsidR="00F52ED5" w:rsidRDefault="001541F8">
            <w:r>
              <w:rPr>
                <w:color w:val="000000"/>
                <w:sz w:val="18"/>
                <w:szCs w:val="18"/>
              </w:rPr>
              <w:t>Componentes de optimización de la PTAP: floculador y demás estructuras pendientes</w:t>
            </w:r>
          </w:p>
        </w:tc>
        <w:tc>
          <w:tcPr>
            <w:tcW w:w="1800" w:type="dxa"/>
            <w:tcBorders>
              <w:top w:val="single" w:sz="4" w:space="0" w:color="BBBBBB"/>
              <w:left w:val="single" w:sz="4" w:space="0" w:color="BBBBBB"/>
              <w:bottom w:val="single" w:sz="4" w:space="0" w:color="BBBBBB"/>
              <w:right w:val="single" w:sz="4" w:space="0" w:color="BBBBBB"/>
            </w:tcBorders>
            <w:shd w:val="clear" w:color="auto" w:fill="F2F2F2"/>
            <w:tcMar>
              <w:top w:w="80" w:type="dxa"/>
              <w:left w:w="120" w:type="dxa"/>
              <w:bottom w:w="80" w:type="dxa"/>
              <w:right w:w="120" w:type="dxa"/>
            </w:tcMar>
            <w:vAlign w:val="center"/>
          </w:tcPr>
          <w:p w14:paraId="69948E7B" w14:textId="77777777" w:rsidR="00F52ED5" w:rsidRDefault="001541F8">
            <w:pPr>
              <w:jc w:val="center"/>
            </w:pPr>
            <w:r>
              <w:rPr>
                <w:color w:val="000000"/>
                <w:sz w:val="18"/>
                <w:szCs w:val="18"/>
              </w:rPr>
              <w:t>Crítica</w:t>
            </w:r>
          </w:p>
        </w:tc>
      </w:tr>
      <w:tr w:rsidR="00F52ED5" w14:paraId="69948E81" w14:textId="77777777" w:rsidTr="00B531C9">
        <w:trPr>
          <w:jc w:val="center"/>
        </w:trPr>
        <w:tc>
          <w:tcPr>
            <w:tcW w:w="2000" w:type="dxa"/>
            <w:tcBorders>
              <w:top w:val="single" w:sz="4" w:space="0" w:color="BBBBBB"/>
              <w:left w:val="single" w:sz="4" w:space="0" w:color="BBBBBB"/>
              <w:bottom w:val="single" w:sz="4" w:space="0" w:color="BBBBBB"/>
              <w:right w:val="single" w:sz="4" w:space="0" w:color="BBBBBB"/>
            </w:tcBorders>
            <w:shd w:val="clear" w:color="auto" w:fill="D6E4F0"/>
            <w:tcMar>
              <w:top w:w="80" w:type="dxa"/>
              <w:left w:w="120" w:type="dxa"/>
              <w:bottom w:w="80" w:type="dxa"/>
              <w:right w:w="120" w:type="dxa"/>
            </w:tcMar>
            <w:vAlign w:val="center"/>
          </w:tcPr>
          <w:p w14:paraId="69948E7D" w14:textId="77777777" w:rsidR="00F52ED5" w:rsidRDefault="001541F8">
            <w:r>
              <w:rPr>
                <w:b/>
                <w:bCs/>
                <w:color w:val="000000"/>
                <w:sz w:val="18"/>
                <w:szCs w:val="18"/>
              </w:rPr>
              <w:t>TOTAL BRECHAS</w:t>
            </w:r>
          </w:p>
        </w:tc>
        <w:tc>
          <w:tcPr>
            <w:tcW w:w="1600" w:type="dxa"/>
            <w:tcBorders>
              <w:top w:val="single" w:sz="4" w:space="0" w:color="BBBBBB"/>
              <w:left w:val="single" w:sz="4" w:space="0" w:color="BBBBBB"/>
              <w:bottom w:val="single" w:sz="4" w:space="0" w:color="BBBBBB"/>
              <w:right w:val="single" w:sz="4" w:space="0" w:color="BBBBBB"/>
            </w:tcBorders>
            <w:shd w:val="clear" w:color="auto" w:fill="D6E4F0"/>
            <w:tcMar>
              <w:top w:w="80" w:type="dxa"/>
              <w:left w:w="120" w:type="dxa"/>
              <w:bottom w:w="80" w:type="dxa"/>
              <w:right w:w="120" w:type="dxa"/>
            </w:tcMar>
            <w:vAlign w:val="center"/>
          </w:tcPr>
          <w:p w14:paraId="69948E7E" w14:textId="77777777" w:rsidR="00F52ED5" w:rsidRDefault="001541F8">
            <w:pPr>
              <w:jc w:val="center"/>
            </w:pPr>
            <w:r>
              <w:rPr>
                <w:b/>
                <w:bCs/>
                <w:color w:val="000000"/>
                <w:sz w:val="18"/>
                <w:szCs w:val="18"/>
              </w:rPr>
              <w:t>~$30.000 M</w:t>
            </w:r>
          </w:p>
        </w:tc>
        <w:tc>
          <w:tcPr>
            <w:tcW w:w="3480" w:type="dxa"/>
            <w:tcBorders>
              <w:top w:val="single" w:sz="4" w:space="0" w:color="BBBBBB"/>
              <w:left w:val="single" w:sz="4" w:space="0" w:color="BBBBBB"/>
              <w:bottom w:val="single" w:sz="4" w:space="0" w:color="BBBBBB"/>
              <w:right w:val="single" w:sz="4" w:space="0" w:color="BBBBBB"/>
            </w:tcBorders>
            <w:shd w:val="clear" w:color="auto" w:fill="D6E4F0"/>
            <w:tcMar>
              <w:top w:w="80" w:type="dxa"/>
              <w:left w:w="120" w:type="dxa"/>
              <w:bottom w:w="80" w:type="dxa"/>
              <w:right w:w="120" w:type="dxa"/>
            </w:tcMar>
            <w:vAlign w:val="center"/>
          </w:tcPr>
          <w:p w14:paraId="69948E7F" w14:textId="77777777" w:rsidR="00F52ED5" w:rsidRDefault="001541F8">
            <w:proofErr w:type="gramStart"/>
            <w:r>
              <w:rPr>
                <w:color w:val="000000"/>
                <w:sz w:val="18"/>
                <w:szCs w:val="18"/>
              </w:rPr>
              <w:t>Recursos a gestionar</w:t>
            </w:r>
            <w:proofErr w:type="gramEnd"/>
            <w:r>
              <w:rPr>
                <w:color w:val="000000"/>
                <w:sz w:val="18"/>
                <w:szCs w:val="18"/>
              </w:rPr>
              <w:t xml:space="preserve"> para el cierre completo del Componente 1</w:t>
            </w:r>
          </w:p>
        </w:tc>
        <w:tc>
          <w:tcPr>
            <w:tcW w:w="1800" w:type="dxa"/>
            <w:tcBorders>
              <w:top w:val="single" w:sz="4" w:space="0" w:color="BBBBBB"/>
              <w:left w:val="single" w:sz="4" w:space="0" w:color="BBBBBB"/>
              <w:bottom w:val="single" w:sz="4" w:space="0" w:color="BBBBBB"/>
              <w:right w:val="single" w:sz="4" w:space="0" w:color="BBBBBB"/>
            </w:tcBorders>
            <w:shd w:val="clear" w:color="auto" w:fill="D6E4F0"/>
            <w:tcMar>
              <w:top w:w="80" w:type="dxa"/>
              <w:left w:w="120" w:type="dxa"/>
              <w:bottom w:w="80" w:type="dxa"/>
              <w:right w:w="120" w:type="dxa"/>
            </w:tcMar>
            <w:vAlign w:val="center"/>
          </w:tcPr>
          <w:p w14:paraId="69948E80" w14:textId="77777777" w:rsidR="00F52ED5" w:rsidRDefault="00F52ED5"/>
        </w:tc>
      </w:tr>
    </w:tbl>
    <w:p w14:paraId="69948E83" w14:textId="77777777" w:rsidR="00F52ED5" w:rsidRDefault="001541F8">
      <w:pPr>
        <w:pStyle w:val="Ttulo3"/>
      </w:pPr>
      <w:r>
        <w:t>Acueducto de Riohacha</w:t>
      </w:r>
    </w:p>
    <w:p w14:paraId="69948E84" w14:textId="77777777" w:rsidR="00F52ED5" w:rsidRDefault="001541F8">
      <w:pPr>
        <w:pStyle w:val="Prrafodelista"/>
        <w:numPr>
          <w:ilvl w:val="0"/>
          <w:numId w:val="2"/>
        </w:numPr>
        <w:spacing w:before="60" w:after="60"/>
      </w:pPr>
      <w:r>
        <w:t xml:space="preserve">Gestionar ~$12.000 M para completar la </w:t>
      </w:r>
      <w:proofErr w:type="spellStart"/>
      <w:r>
        <w:t>micromedición</w:t>
      </w:r>
      <w:proofErr w:type="spellEnd"/>
      <w:r>
        <w:t xml:space="preserve"> (instalación de 78% restante de medidores domiciliarios) y llevar la cobertura hasta el barrio Villa Fátima.</w:t>
      </w:r>
    </w:p>
    <w:p w14:paraId="69948E85" w14:textId="77777777" w:rsidR="00F52ED5" w:rsidRDefault="001541F8">
      <w:pPr>
        <w:pStyle w:val="Prrafodelista"/>
        <w:numPr>
          <w:ilvl w:val="0"/>
          <w:numId w:val="2"/>
        </w:numPr>
        <w:spacing w:before="60" w:after="60"/>
      </w:pPr>
      <w:r>
        <w:t>Definir con el BID y con el operador Aqualia la estrategia contractual (otrosí o nuevo contrato) para este alcance adicional.</w:t>
      </w:r>
    </w:p>
    <w:p w14:paraId="69948E86" w14:textId="77777777" w:rsidR="00F52ED5" w:rsidRDefault="001541F8">
      <w:pPr>
        <w:pStyle w:val="Prrafodelista"/>
        <w:numPr>
          <w:ilvl w:val="0"/>
          <w:numId w:val="2"/>
        </w:numPr>
        <w:spacing w:before="60" w:after="60"/>
      </w:pPr>
      <w:r>
        <w:t>Concluir los empates de red pendientes (37% restante) con urgencia.</w:t>
      </w:r>
    </w:p>
    <w:p w14:paraId="69948E88" w14:textId="77777777" w:rsidR="00F52ED5" w:rsidRDefault="001541F8">
      <w:pPr>
        <w:pStyle w:val="Ttulo3"/>
      </w:pPr>
      <w:r>
        <w:t>Acueducto de Fonseca</w:t>
      </w:r>
    </w:p>
    <w:p w14:paraId="69948E89" w14:textId="77777777" w:rsidR="00F52ED5" w:rsidRDefault="001541F8">
      <w:pPr>
        <w:pStyle w:val="Prrafodelista"/>
        <w:numPr>
          <w:ilvl w:val="0"/>
          <w:numId w:val="2"/>
        </w:numPr>
        <w:spacing w:before="60" w:after="60"/>
      </w:pPr>
      <w:r>
        <w:t>Gestionar ~$8.000 M para la rehabilitación de los tanques elevados de almacenamiento, componente clave para garantizar la continuidad del servicio de 24 horas proyectada como meta del Programa.</w:t>
      </w:r>
    </w:p>
    <w:p w14:paraId="69948E8A" w14:textId="77777777" w:rsidR="00F52ED5" w:rsidRDefault="001541F8">
      <w:pPr>
        <w:pStyle w:val="Prrafodelista"/>
        <w:numPr>
          <w:ilvl w:val="0"/>
          <w:numId w:val="2"/>
        </w:numPr>
        <w:spacing w:before="60" w:after="60"/>
      </w:pPr>
      <w:r>
        <w:t>Completar la instalación de medidores en las acometidas domiciliarias ya construidas.</w:t>
      </w:r>
    </w:p>
    <w:p w14:paraId="69948E8B" w14:textId="77777777" w:rsidR="00F52ED5" w:rsidRDefault="001541F8">
      <w:pPr>
        <w:pStyle w:val="Prrafodelista"/>
        <w:numPr>
          <w:ilvl w:val="0"/>
          <w:numId w:val="2"/>
        </w:numPr>
        <w:spacing w:before="60" w:after="60"/>
      </w:pPr>
      <w:r>
        <w:t>Fecha de terminación de obras del contrato actual: mayo de 2026.</w:t>
      </w:r>
    </w:p>
    <w:p w14:paraId="69948E8D" w14:textId="77777777" w:rsidR="00F52ED5" w:rsidRDefault="001541F8">
      <w:pPr>
        <w:pStyle w:val="Ttulo3"/>
      </w:pPr>
      <w:r>
        <w:t>Alcantarillado de Fonseca</w:t>
      </w:r>
    </w:p>
    <w:p w14:paraId="69948E8E" w14:textId="77777777" w:rsidR="00F52ED5" w:rsidRDefault="001541F8">
      <w:pPr>
        <w:pStyle w:val="Prrafodelista"/>
        <w:numPr>
          <w:ilvl w:val="0"/>
          <w:numId w:val="2"/>
        </w:numPr>
        <w:spacing w:before="60" w:after="60"/>
      </w:pPr>
      <w:r>
        <w:t>El permiso de ocupación de vía nacional ante INVIAS fue obtenido, desbloqueando los tres cruces de los sistemas pluvial y sanitario. Este trámite, que representaba un riesgo crítico, fue resuelto por el equipo saliente.</w:t>
      </w:r>
    </w:p>
    <w:p w14:paraId="69948E8F" w14:textId="77777777" w:rsidR="00F52ED5" w:rsidRDefault="001541F8">
      <w:pPr>
        <w:pStyle w:val="Prrafodelista"/>
        <w:numPr>
          <w:ilvl w:val="0"/>
          <w:numId w:val="2"/>
        </w:numPr>
        <w:spacing w:before="60" w:after="60"/>
      </w:pPr>
      <w:r>
        <w:t>Gestionar ~$4.000 M para la reposición de vías afectadas por la intervención del alcantarillado, obras necesarias para la entrega final del proyecto a la comunidad y al municipio.</w:t>
      </w:r>
    </w:p>
    <w:p w14:paraId="69948E90" w14:textId="77777777" w:rsidR="00F52ED5" w:rsidRDefault="001541F8">
      <w:pPr>
        <w:pStyle w:val="Prrafodelista"/>
        <w:numPr>
          <w:ilvl w:val="0"/>
          <w:numId w:val="2"/>
        </w:numPr>
        <w:spacing w:before="60" w:after="60"/>
      </w:pPr>
      <w:r>
        <w:t>Completar la EBAR (avance 75%) y las obras restantes de la red pluvial.</w:t>
      </w:r>
    </w:p>
    <w:p w14:paraId="69948E91" w14:textId="77777777" w:rsidR="00F52ED5" w:rsidRDefault="001541F8">
      <w:pPr>
        <w:pStyle w:val="Prrafodelista"/>
        <w:numPr>
          <w:ilvl w:val="0"/>
          <w:numId w:val="2"/>
        </w:numPr>
        <w:spacing w:before="60" w:after="60"/>
      </w:pPr>
      <w:r>
        <w:t>Fecha de terminación de interventoría: junio de 2026.</w:t>
      </w:r>
    </w:p>
    <w:p w14:paraId="5679BD4B" w14:textId="77777777" w:rsidR="00595ABF" w:rsidRDefault="00595ABF" w:rsidP="00595ABF">
      <w:pPr>
        <w:pStyle w:val="Prrafodelista"/>
        <w:spacing w:before="60" w:after="60"/>
        <w:ind w:left="360"/>
      </w:pPr>
    </w:p>
    <w:p w14:paraId="69948E93" w14:textId="77777777" w:rsidR="00F52ED5" w:rsidRDefault="001541F8">
      <w:pPr>
        <w:pStyle w:val="Ttulo3"/>
      </w:pPr>
      <w:r>
        <w:lastRenderedPageBreak/>
        <w:t>Acueducto de Urumita</w:t>
      </w:r>
    </w:p>
    <w:p w14:paraId="69948E94" w14:textId="77777777" w:rsidR="00F52ED5" w:rsidRDefault="001541F8">
      <w:pPr>
        <w:pStyle w:val="Prrafodelista"/>
        <w:numPr>
          <w:ilvl w:val="0"/>
          <w:numId w:val="2"/>
        </w:numPr>
        <w:spacing w:before="60" w:after="60"/>
      </w:pPr>
      <w:r>
        <w:t>El permiso de ocupación de cauce ante Corpoguajira fue obtenido, habilitando la ejecución de los viaductos de la aducción – tramo 2. La adición de recursos fue tramitada y aprobada.</w:t>
      </w:r>
    </w:p>
    <w:p w14:paraId="69948E95" w14:textId="77777777" w:rsidR="00F52ED5" w:rsidRDefault="001541F8">
      <w:pPr>
        <w:pStyle w:val="Prrafodelista"/>
        <w:numPr>
          <w:ilvl w:val="0"/>
          <w:numId w:val="2"/>
        </w:numPr>
        <w:spacing w:before="60" w:after="60"/>
      </w:pPr>
      <w:r>
        <w:t>Gestionar ~$6.000 M adicionales para concluir los componentes de optimización de la PTAP, en especial el floculador y demás estructuras pendientes, que son críticas para el funcionamiento integral del sistema.</w:t>
      </w:r>
    </w:p>
    <w:p w14:paraId="69948E96" w14:textId="77777777" w:rsidR="00F52ED5" w:rsidRDefault="001541F8">
      <w:pPr>
        <w:pStyle w:val="Prrafodelista"/>
        <w:numPr>
          <w:ilvl w:val="0"/>
          <w:numId w:val="2"/>
        </w:numPr>
        <w:spacing w:before="60" w:after="60"/>
      </w:pPr>
      <w:r>
        <w:t>Esta es la obra de mayor riesgo frente al plazo de cierre del Préstamo (23 de diciembre de 2026). Se recomienda establecer seguimiento semanal con el contratista, la interventoría y la GIP.</w:t>
      </w:r>
    </w:p>
    <w:p w14:paraId="69948E98" w14:textId="77777777" w:rsidR="00F52ED5" w:rsidRDefault="001541F8">
      <w:pPr>
        <w:pStyle w:val="Ttulo2"/>
      </w:pPr>
      <w:r>
        <w:t>6.2 Gestión financiera y de desembolsos</w:t>
      </w:r>
    </w:p>
    <w:p w14:paraId="69948E99" w14:textId="77777777" w:rsidR="00F52ED5" w:rsidRDefault="001541F8">
      <w:pPr>
        <w:pStyle w:val="Prrafodelista"/>
        <w:numPr>
          <w:ilvl w:val="0"/>
          <w:numId w:val="2"/>
        </w:numPr>
        <w:spacing w:before="60" w:after="60"/>
      </w:pPr>
      <w:r>
        <w:t>Se recomienda mantener el monitoreo permanente del flujo de caja del Préstamo y de las donaciones para asegurar que no haya interrupciones en los pagos a contratistas e interventores durante la fase de cierre.</w:t>
      </w:r>
    </w:p>
    <w:p w14:paraId="69948E9A" w14:textId="77777777" w:rsidR="00F52ED5" w:rsidRDefault="001541F8">
      <w:pPr>
        <w:pStyle w:val="Prrafodelista"/>
        <w:numPr>
          <w:ilvl w:val="0"/>
          <w:numId w:val="2"/>
        </w:numPr>
        <w:spacing w:before="60" w:after="60"/>
      </w:pPr>
      <w:r>
        <w:t>El saldo disponible en la cuenta especial del Banco de la República y en la Fiducia debe administrarse con criterio de priorización: primero, los pagos de actas de obra de Urumita; segundo, los pagos pendientes de Fonseca (alcantarillado y acueducto); tercero, los ajustes de Riohacha.</w:t>
      </w:r>
    </w:p>
    <w:p w14:paraId="69948E9B" w14:textId="77777777" w:rsidR="00F52ED5" w:rsidRDefault="001541F8">
      <w:pPr>
        <w:pStyle w:val="Prrafodelista"/>
        <w:numPr>
          <w:ilvl w:val="0"/>
          <w:numId w:val="2"/>
        </w:numPr>
        <w:spacing w:before="60" w:after="60"/>
      </w:pPr>
      <w:r>
        <w:t>Gestionar oportunamente el último desembolso del Préstamo BID previo al cierre del Programa, asegurando que la justificación de inversiones supere el umbral requerido del préstamo.</w:t>
      </w:r>
    </w:p>
    <w:p w14:paraId="69948E9C" w14:textId="77777777" w:rsidR="00F52ED5" w:rsidRDefault="001541F8">
      <w:pPr>
        <w:pStyle w:val="Prrafodelista"/>
        <w:numPr>
          <w:ilvl w:val="0"/>
          <w:numId w:val="2"/>
        </w:numPr>
        <w:spacing w:before="60" w:after="60"/>
      </w:pPr>
      <w:r>
        <w:t>Mantener actualizados y al día los informes financieros en STORM-SIRECI y en el Portal del Cliente del BID.</w:t>
      </w:r>
    </w:p>
    <w:p w14:paraId="69948E9E" w14:textId="77777777" w:rsidR="00F52ED5" w:rsidRDefault="001541F8">
      <w:pPr>
        <w:pStyle w:val="Ttulo2"/>
      </w:pPr>
      <w:r>
        <w:t>6.3 Componente 2 — Cierre de actividades institucionales</w:t>
      </w:r>
    </w:p>
    <w:p w14:paraId="69948E9F" w14:textId="77777777" w:rsidR="00F52ED5" w:rsidRDefault="001541F8">
      <w:pPr>
        <w:pStyle w:val="Prrafodelista"/>
        <w:numPr>
          <w:ilvl w:val="0"/>
          <w:numId w:val="2"/>
        </w:numPr>
        <w:spacing w:before="60" w:after="60"/>
      </w:pPr>
      <w:r>
        <w:t>La Unidad Móvil de Corpoguajira fue entregada el 22 de mayo de 2026 con sus equipos de laboratorio, cumpliendo esta condición de cierre del Programa.</w:t>
      </w:r>
    </w:p>
    <w:p w14:paraId="69948EA0" w14:textId="77777777" w:rsidR="00F52ED5" w:rsidRDefault="001541F8">
      <w:pPr>
        <w:pStyle w:val="Prrafodelista"/>
        <w:numPr>
          <w:ilvl w:val="0"/>
          <w:numId w:val="2"/>
        </w:numPr>
        <w:spacing w:before="60" w:after="60"/>
      </w:pPr>
      <w:r>
        <w:t>Concluir los diseños de mejoramiento del laboratorio ambiental de Corpoguajira y adelantar la obra civil correspondiente.</w:t>
      </w:r>
    </w:p>
    <w:p w14:paraId="69948EA1" w14:textId="77777777" w:rsidR="00F52ED5" w:rsidRDefault="001541F8">
      <w:pPr>
        <w:pStyle w:val="Prrafodelista"/>
        <w:numPr>
          <w:ilvl w:val="0"/>
          <w:numId w:val="2"/>
        </w:numPr>
        <w:spacing w:before="60" w:after="60"/>
      </w:pPr>
      <w:r>
        <w:t>Finalizar los planes de comunicación Fase 3 para los tres municipios y sistematizar los resultados de los talleres de capacitación con enfoque de género.</w:t>
      </w:r>
    </w:p>
    <w:p w14:paraId="69948EA3" w14:textId="77777777" w:rsidR="00F52ED5" w:rsidRDefault="001541F8">
      <w:pPr>
        <w:pStyle w:val="Ttulo2"/>
      </w:pPr>
      <w:r>
        <w:t>6.4 Continuidad del equipo y memoria institucional</w:t>
      </w:r>
    </w:p>
    <w:p w14:paraId="69948EA4" w14:textId="77777777" w:rsidR="00F52ED5" w:rsidRDefault="001541F8">
      <w:pPr>
        <w:pStyle w:val="Prrafodelista"/>
        <w:numPr>
          <w:ilvl w:val="0"/>
          <w:numId w:val="2"/>
        </w:numPr>
        <w:spacing w:before="60" w:after="60"/>
      </w:pPr>
      <w:r>
        <w:t>La continuidad de los profesionales de la UCP es un activo estratégico del Programa. Se recomienda mantener al equipo técnico que conoce la operación, los contratos y las relaciones con el BID, los municipios y los operadores, durante todo el período de cierre.</w:t>
      </w:r>
    </w:p>
    <w:p w14:paraId="69948EA5" w14:textId="77777777" w:rsidR="00F52ED5" w:rsidRDefault="001541F8">
      <w:pPr>
        <w:pStyle w:val="Prrafodelista"/>
        <w:numPr>
          <w:ilvl w:val="0"/>
          <w:numId w:val="2"/>
        </w:numPr>
        <w:spacing w:before="60" w:after="60"/>
      </w:pPr>
      <w:r>
        <w:t>Se recomienda elaborar un acta detallada de entrega de todos los contratos vigentes, con sus estados contractuales, saldos, cronogramas, riesgos identificados y contactos clave.</w:t>
      </w:r>
    </w:p>
    <w:p w14:paraId="69948EA6" w14:textId="77777777" w:rsidR="00F52ED5" w:rsidRDefault="001541F8">
      <w:pPr>
        <w:pStyle w:val="Prrafodelista"/>
        <w:numPr>
          <w:ilvl w:val="0"/>
          <w:numId w:val="2"/>
        </w:numPr>
        <w:spacing w:before="60" w:after="60"/>
      </w:pPr>
      <w:r>
        <w:t>Iniciar de manera temprana los trámites de recibo definitivo de obras con los municipios y la transferencia formal de los activos a los operadores de cada sistema.</w:t>
      </w:r>
    </w:p>
    <w:p w14:paraId="69948EA8" w14:textId="77777777" w:rsidR="00F52ED5" w:rsidRDefault="001541F8">
      <w:pPr>
        <w:pStyle w:val="Ttulo2"/>
      </w:pPr>
      <w:r>
        <w:t>6.5 Relación con el BID y con los municipios</w:t>
      </w:r>
    </w:p>
    <w:p w14:paraId="69948EA9" w14:textId="77777777" w:rsidR="00F52ED5" w:rsidRDefault="001541F8">
      <w:pPr>
        <w:pStyle w:val="Prrafodelista"/>
        <w:numPr>
          <w:ilvl w:val="0"/>
          <w:numId w:val="2"/>
        </w:numPr>
        <w:spacing w:before="60" w:after="60"/>
      </w:pPr>
      <w:r>
        <w:t>Mantener la coordinación periódica con el especialista sectorial del BID (Representación Colombia) y con el asesor técnico del Banco (Ing. Edgar Orellana) para la revisión de no objeciones, ajustes al Plan de Adquisiciones y cualquier enmienda al Contrato de Préstamo.</w:t>
      </w:r>
    </w:p>
    <w:p w14:paraId="69948EAA" w14:textId="77777777" w:rsidR="00F52ED5" w:rsidRDefault="001541F8">
      <w:pPr>
        <w:pStyle w:val="Prrafodelista"/>
        <w:numPr>
          <w:ilvl w:val="0"/>
          <w:numId w:val="2"/>
        </w:numPr>
        <w:spacing w:before="60" w:after="60"/>
      </w:pPr>
      <w:r>
        <w:t>Fortalecer los vínculos con los alcaldes y operadores de Riohacha (Aqualia), Fonseca (AAS) y Urumita, quienes son los garantes de la sostenibilidad de las obras a largo plazo.</w:t>
      </w:r>
    </w:p>
    <w:p w14:paraId="69948EAB" w14:textId="77777777" w:rsidR="00F52ED5" w:rsidRDefault="001541F8">
      <w:pPr>
        <w:pStyle w:val="Prrafodelista"/>
        <w:numPr>
          <w:ilvl w:val="0"/>
          <w:numId w:val="2"/>
        </w:numPr>
        <w:spacing w:before="60" w:after="60"/>
      </w:pPr>
      <w:r>
        <w:t>Completar el registro de las entregas parciales y la recepción definitiva de obras en el Portal del Cliente del BID y en el sistema CAPTUDATA de interventorías.</w:t>
      </w:r>
    </w:p>
    <w:p w14:paraId="628A581F" w14:textId="77777777" w:rsidR="0085076B" w:rsidRDefault="0085076B" w:rsidP="0085076B">
      <w:pPr>
        <w:spacing w:before="60" w:after="60"/>
      </w:pPr>
    </w:p>
    <w:p w14:paraId="5E957596" w14:textId="77777777" w:rsidR="0085076B" w:rsidRDefault="0085076B" w:rsidP="0085076B">
      <w:pPr>
        <w:spacing w:before="60" w:after="60"/>
      </w:pPr>
    </w:p>
    <w:p w14:paraId="69948EAD" w14:textId="77777777" w:rsidR="00F52ED5" w:rsidRDefault="001541F8">
      <w:pPr>
        <w:pStyle w:val="Ttulo1"/>
      </w:pPr>
      <w:r>
        <w:lastRenderedPageBreak/>
        <w:t>7. Conclusión</w:t>
      </w:r>
    </w:p>
    <w:p w14:paraId="69948EAE" w14:textId="3DAFE08A" w:rsidR="00F52ED5" w:rsidRDefault="001541F8">
      <w:pPr>
        <w:spacing w:before="80" w:after="80" w:line="276" w:lineRule="auto"/>
        <w:jc w:val="both"/>
      </w:pPr>
      <w:r>
        <w:rPr>
          <w:color w:val="000000"/>
        </w:rPr>
        <w:t xml:space="preserve">El Programa de Agua Potable y Saneamiento para el departamento de La Guajira representa una de las inversiones en infraestructura hídrica más significativas realizadas en el departamento en las últimas décadas. Durante </w:t>
      </w:r>
      <w:r w:rsidR="00595ABF">
        <w:rPr>
          <w:color w:val="000000"/>
        </w:rPr>
        <w:t>la ejecución</w:t>
      </w:r>
      <w:r>
        <w:rPr>
          <w:color w:val="000000"/>
        </w:rPr>
        <w:t xml:space="preserve"> de </w:t>
      </w:r>
      <w:r w:rsidR="0085076B">
        <w:rPr>
          <w:color w:val="000000"/>
        </w:rPr>
        <w:t>Programa</w:t>
      </w:r>
      <w:r>
        <w:rPr>
          <w:color w:val="000000"/>
        </w:rPr>
        <w:t xml:space="preserve"> </w:t>
      </w:r>
      <w:r w:rsidR="0085076B">
        <w:rPr>
          <w:color w:val="000000"/>
        </w:rPr>
        <w:t>diciembre</w:t>
      </w:r>
      <w:r>
        <w:rPr>
          <w:color w:val="000000"/>
        </w:rPr>
        <w:t xml:space="preserve"> 202</w:t>
      </w:r>
      <w:r w:rsidR="00595ABF">
        <w:rPr>
          <w:color w:val="000000"/>
        </w:rPr>
        <w:t>0</w:t>
      </w:r>
      <w:r>
        <w:rPr>
          <w:color w:val="000000"/>
        </w:rPr>
        <w:t xml:space="preserve"> – junio 2026, se logró llevar cuatro proyectos de infraestructura desde su estructuración técnica y financiera hasta niveles de avance físico entre el 75% y el 93%, con beneficios directos para más de 270.000 habitantes en los municipios de Riohacha, Fonseca y Urumita.</w:t>
      </w:r>
    </w:p>
    <w:p w14:paraId="69948EB0" w14:textId="77777777" w:rsidR="00F52ED5" w:rsidRDefault="001541F8">
      <w:pPr>
        <w:spacing w:before="80" w:after="80" w:line="276" w:lineRule="auto"/>
        <w:jc w:val="both"/>
      </w:pPr>
      <w:r>
        <w:rPr>
          <w:color w:val="000000"/>
        </w:rPr>
        <w:t>El éxito de esta gestión no se explica únicamente por la magnitud de la inversión, sino por la solidez del equipo ejecutor, la articulación interinstitucional con el BID, el DNP, el MHCP y los municipios, y la capacidad de adaptar la estrategia de ejecución a un entorno económico y territorial de alta complejidad. La continuidad de estos factores durante la fase de cierre del Programa será determinante para que los beneficios lleguen de manera completa y sostenible a las comunidades de La Guajira.</w:t>
      </w:r>
    </w:p>
    <w:p w14:paraId="69948EB2" w14:textId="77777777" w:rsidR="00F52ED5" w:rsidRDefault="001541F8">
      <w:pPr>
        <w:spacing w:before="80" w:after="80" w:line="276" w:lineRule="auto"/>
        <w:jc w:val="both"/>
      </w:pPr>
      <w:r>
        <w:rPr>
          <w:color w:val="000000"/>
        </w:rPr>
        <w:t>El equipo de la UCP queda a disposición del nuevo equipo directivo del Ministerio de Vivienda, Ciudad y Territorio para facilitar el proceso de empalme y garantizar la mejor transferencia posible del conocimiento institucional acumulado.</w:t>
      </w:r>
    </w:p>
    <w:p w14:paraId="69948EB3" w14:textId="77777777" w:rsidR="00F52ED5" w:rsidRDefault="00F52ED5">
      <w:pPr>
        <w:spacing w:after="120"/>
      </w:pPr>
    </w:p>
    <w:p w14:paraId="69948EB4" w14:textId="77777777" w:rsidR="00F52ED5" w:rsidRDefault="00F52ED5">
      <w:pPr>
        <w:spacing w:after="120"/>
      </w:pPr>
    </w:p>
    <w:p w14:paraId="69948EB5" w14:textId="77777777" w:rsidR="00F52ED5" w:rsidRDefault="001541F8">
      <w:pPr>
        <w:pBdr>
          <w:top w:val="single" w:sz="4" w:space="4" w:color="2E75B6"/>
        </w:pBdr>
        <w:spacing w:before="360" w:after="120"/>
      </w:pPr>
      <w:r>
        <w:rPr>
          <w:b/>
          <w:bCs/>
          <w:color w:val="1F4E79"/>
          <w:sz w:val="22"/>
          <w:szCs w:val="22"/>
        </w:rPr>
        <w:t>Oscar Cortés Rivero</w:t>
      </w:r>
    </w:p>
    <w:p w14:paraId="69948EB6" w14:textId="77777777" w:rsidR="00F52ED5" w:rsidRDefault="001541F8">
      <w:pPr>
        <w:spacing w:before="80" w:after="80" w:line="276" w:lineRule="auto"/>
        <w:jc w:val="both"/>
      </w:pPr>
      <w:r>
        <w:rPr>
          <w:color w:val="000000"/>
        </w:rPr>
        <w:t>Coordinador — Unidad Coordinadora del Programa (UCP)</w:t>
      </w:r>
    </w:p>
    <w:p w14:paraId="69948EB7" w14:textId="77777777" w:rsidR="00F52ED5" w:rsidRDefault="001541F8">
      <w:pPr>
        <w:spacing w:before="80" w:after="80" w:line="276" w:lineRule="auto"/>
        <w:jc w:val="both"/>
      </w:pPr>
      <w:r>
        <w:rPr>
          <w:color w:val="000000"/>
        </w:rPr>
        <w:t>Dirección de Infraestructura y Desarrollo Empresarial</w:t>
      </w:r>
    </w:p>
    <w:p w14:paraId="69948EB8" w14:textId="77777777" w:rsidR="00F52ED5" w:rsidRDefault="001541F8">
      <w:pPr>
        <w:spacing w:before="80" w:after="80" w:line="276" w:lineRule="auto"/>
        <w:jc w:val="both"/>
      </w:pPr>
      <w:r>
        <w:rPr>
          <w:color w:val="000000"/>
        </w:rPr>
        <w:t>Viceministerio de Agua y Saneamiento Básico</w:t>
      </w:r>
    </w:p>
    <w:p w14:paraId="69948EB9" w14:textId="77777777" w:rsidR="00F52ED5" w:rsidRDefault="001541F8">
      <w:pPr>
        <w:spacing w:before="80" w:after="80" w:line="276" w:lineRule="auto"/>
        <w:jc w:val="both"/>
      </w:pPr>
      <w:r>
        <w:rPr>
          <w:color w:val="000000"/>
        </w:rPr>
        <w:t>Ministerio de Vivienda, Ciudad y Territorio</w:t>
      </w:r>
    </w:p>
    <w:p w14:paraId="69948EBA" w14:textId="77777777" w:rsidR="00F52ED5" w:rsidRDefault="001541F8">
      <w:pPr>
        <w:spacing w:before="80" w:after="80" w:line="276" w:lineRule="auto"/>
        <w:jc w:val="both"/>
      </w:pPr>
      <w:r>
        <w:rPr>
          <w:color w:val="000000"/>
        </w:rPr>
        <w:t>Bogotá D.C., junio de 2026</w:t>
      </w:r>
    </w:p>
    <w:sectPr w:rsidR="00F52ED5">
      <w:pgSz w:w="12240" w:h="15840"/>
      <w:pgMar w:top="1440" w:right="1080" w:bottom="1440" w:left="1440" w:header="708" w:footer="70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B5340A4" w14:textId="77777777" w:rsidR="00C932EB" w:rsidRDefault="00C932EB">
      <w:r>
        <w:separator/>
      </w:r>
    </w:p>
  </w:endnote>
  <w:endnote w:type="continuationSeparator" w:id="0">
    <w:p w14:paraId="514CCA5C" w14:textId="77777777" w:rsidR="00C932EB" w:rsidRDefault="00C932E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948ECE" w14:textId="37C5FF09" w:rsidR="00F52ED5" w:rsidRDefault="001541F8">
    <w:pPr>
      <w:pBdr>
        <w:top w:val="single" w:sz="6" w:space="1" w:color="2E75B6"/>
      </w:pBdr>
      <w:tabs>
        <w:tab w:val="right" w:pos="9026"/>
      </w:tabs>
    </w:pPr>
    <w:r>
      <w:rPr>
        <w:color w:val="666666"/>
        <w:sz w:val="16"/>
        <w:szCs w:val="16"/>
      </w:rPr>
      <w:t>Ministerio de Vivienda, Ciudad y Territorio — Viceministerio de Agua y Saneamiento Básico</w:t>
    </w:r>
    <w:r>
      <w:rPr>
        <w:color w:val="666666"/>
        <w:sz w:val="16"/>
        <w:szCs w:val="16"/>
      </w:rPr>
      <w:tab/>
      <w:t xml:space="preserve">Página </w:t>
    </w:r>
    <w:r>
      <w:rPr>
        <w:color w:val="666666"/>
        <w:sz w:val="16"/>
        <w:szCs w:val="16"/>
      </w:rPr>
      <w:fldChar w:fldCharType="begin"/>
    </w:r>
    <w:r>
      <w:rPr>
        <w:color w:val="666666"/>
        <w:sz w:val="16"/>
        <w:szCs w:val="16"/>
      </w:rPr>
      <w:instrText>PAGE</w:instrText>
    </w:r>
    <w:r>
      <w:rPr>
        <w:color w:val="666666"/>
        <w:sz w:val="16"/>
        <w:szCs w:val="16"/>
      </w:rPr>
      <w:fldChar w:fldCharType="separate"/>
    </w:r>
    <w:r w:rsidR="00DB23E8">
      <w:rPr>
        <w:noProof/>
        <w:color w:val="666666"/>
        <w:sz w:val="16"/>
        <w:szCs w:val="16"/>
      </w:rPr>
      <w:t>1</w:t>
    </w:r>
    <w:r>
      <w:rPr>
        <w:color w:val="666666"/>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CAE38BA" w14:textId="77777777" w:rsidR="00C932EB" w:rsidRDefault="00C932EB">
      <w:r>
        <w:separator/>
      </w:r>
    </w:p>
  </w:footnote>
  <w:footnote w:type="continuationSeparator" w:id="0">
    <w:p w14:paraId="6C668A05" w14:textId="77777777" w:rsidR="00C932EB" w:rsidRDefault="00C932E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948ECD" w14:textId="77777777" w:rsidR="00F52ED5" w:rsidRDefault="001541F8">
    <w:pPr>
      <w:pBdr>
        <w:bottom w:val="single" w:sz="6" w:space="1" w:color="2E75B6"/>
      </w:pBdr>
    </w:pPr>
    <w:r>
      <w:rPr>
        <w:color w:val="666666"/>
        <w:sz w:val="16"/>
        <w:szCs w:val="16"/>
      </w:rPr>
      <w:t xml:space="preserve">INFORME DE EMPALME — Programa de Agua Potable y Saneamiento para La </w:t>
    </w:r>
    <w:proofErr w:type="gramStart"/>
    <w:r>
      <w:rPr>
        <w:color w:val="666666"/>
        <w:sz w:val="16"/>
        <w:szCs w:val="16"/>
      </w:rPr>
      <w:t>Guajira  |</w:t>
    </w:r>
    <w:proofErr w:type="gramEnd"/>
    <w:r>
      <w:rPr>
        <w:color w:val="666666"/>
        <w:sz w:val="16"/>
        <w:szCs w:val="16"/>
      </w:rPr>
      <w:t xml:space="preserve">  MVCT · </w:t>
    </w:r>
    <w:proofErr w:type="gramStart"/>
    <w:r>
      <w:rPr>
        <w:color w:val="666666"/>
        <w:sz w:val="16"/>
        <w:szCs w:val="16"/>
      </w:rPr>
      <w:t>Agosto</w:t>
    </w:r>
    <w:proofErr w:type="gramEnd"/>
    <w:r>
      <w:rPr>
        <w:color w:val="666666"/>
        <w:sz w:val="16"/>
        <w:szCs w:val="16"/>
      </w:rPr>
      <w:t xml:space="preserve"> 2022 – </w:t>
    </w:r>
    <w:proofErr w:type="gramStart"/>
    <w:r>
      <w:rPr>
        <w:color w:val="666666"/>
        <w:sz w:val="16"/>
        <w:szCs w:val="16"/>
      </w:rPr>
      <w:t>Junio</w:t>
    </w:r>
    <w:proofErr w:type="gramEnd"/>
    <w:r>
      <w:rPr>
        <w:color w:val="666666"/>
        <w:sz w:val="16"/>
        <w:szCs w:val="16"/>
      </w:rPr>
      <w:t xml:space="preserve"> 2026</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E4032E"/>
    <w:multiLevelType w:val="hybridMultilevel"/>
    <w:tmpl w:val="2F74DF4E"/>
    <w:lvl w:ilvl="0" w:tplc="46ACA2CA">
      <w:start w:val="1"/>
      <w:numFmt w:val="bullet"/>
      <w:lvlText w:val="●"/>
      <w:lvlJc w:val="left"/>
      <w:pPr>
        <w:ind w:left="720" w:hanging="360"/>
      </w:pPr>
    </w:lvl>
    <w:lvl w:ilvl="1" w:tplc="B130ED46">
      <w:start w:val="1"/>
      <w:numFmt w:val="bullet"/>
      <w:lvlText w:val="○"/>
      <w:lvlJc w:val="left"/>
      <w:pPr>
        <w:ind w:left="1440" w:hanging="360"/>
      </w:pPr>
    </w:lvl>
    <w:lvl w:ilvl="2" w:tplc="2AC675B8">
      <w:start w:val="1"/>
      <w:numFmt w:val="bullet"/>
      <w:lvlText w:val="■"/>
      <w:lvlJc w:val="left"/>
      <w:pPr>
        <w:ind w:left="2160" w:hanging="360"/>
      </w:pPr>
    </w:lvl>
    <w:lvl w:ilvl="3" w:tplc="6DE6AA26">
      <w:start w:val="1"/>
      <w:numFmt w:val="bullet"/>
      <w:lvlText w:val="●"/>
      <w:lvlJc w:val="left"/>
      <w:pPr>
        <w:ind w:left="2880" w:hanging="360"/>
      </w:pPr>
    </w:lvl>
    <w:lvl w:ilvl="4" w:tplc="1A9E911A">
      <w:start w:val="1"/>
      <w:numFmt w:val="bullet"/>
      <w:lvlText w:val="○"/>
      <w:lvlJc w:val="left"/>
      <w:pPr>
        <w:ind w:left="3600" w:hanging="360"/>
      </w:pPr>
    </w:lvl>
    <w:lvl w:ilvl="5" w:tplc="2592CD54">
      <w:start w:val="1"/>
      <w:numFmt w:val="bullet"/>
      <w:lvlText w:val="■"/>
      <w:lvlJc w:val="left"/>
      <w:pPr>
        <w:ind w:left="4320" w:hanging="360"/>
      </w:pPr>
    </w:lvl>
    <w:lvl w:ilvl="6" w:tplc="A5E82764">
      <w:start w:val="1"/>
      <w:numFmt w:val="bullet"/>
      <w:lvlText w:val="●"/>
      <w:lvlJc w:val="left"/>
      <w:pPr>
        <w:ind w:left="5040" w:hanging="360"/>
      </w:pPr>
    </w:lvl>
    <w:lvl w:ilvl="7" w:tplc="96A01DF0">
      <w:start w:val="1"/>
      <w:numFmt w:val="bullet"/>
      <w:lvlText w:val="●"/>
      <w:lvlJc w:val="left"/>
      <w:pPr>
        <w:ind w:left="5760" w:hanging="360"/>
      </w:pPr>
    </w:lvl>
    <w:lvl w:ilvl="8" w:tplc="C6A2DD1C">
      <w:start w:val="1"/>
      <w:numFmt w:val="bullet"/>
      <w:lvlText w:val="●"/>
      <w:lvlJc w:val="left"/>
      <w:pPr>
        <w:ind w:left="6480" w:hanging="360"/>
      </w:pPr>
    </w:lvl>
  </w:abstractNum>
  <w:abstractNum w:abstractNumId="1" w15:restartNumberingAfterBreak="0">
    <w:nsid w:val="712A387B"/>
    <w:multiLevelType w:val="hybridMultilevel"/>
    <w:tmpl w:val="111EF0AC"/>
    <w:lvl w:ilvl="0" w:tplc="9552FDE8">
      <w:start w:val="1"/>
      <w:numFmt w:val="bullet"/>
      <w:lvlText w:val="•"/>
      <w:lvlJc w:val="left"/>
      <w:pPr>
        <w:ind w:left="360" w:hanging="360"/>
      </w:pPr>
    </w:lvl>
    <w:lvl w:ilvl="1" w:tplc="49384F24">
      <w:start w:val="1"/>
      <w:numFmt w:val="bullet"/>
      <w:lvlText w:val="–"/>
      <w:lvlJc w:val="left"/>
      <w:pPr>
        <w:ind w:left="720" w:hanging="360"/>
      </w:pPr>
    </w:lvl>
    <w:lvl w:ilvl="2" w:tplc="8CD0B0EC">
      <w:numFmt w:val="decimal"/>
      <w:lvlText w:val=""/>
      <w:lvlJc w:val="left"/>
    </w:lvl>
    <w:lvl w:ilvl="3" w:tplc="C452F182">
      <w:numFmt w:val="decimal"/>
      <w:lvlText w:val=""/>
      <w:lvlJc w:val="left"/>
    </w:lvl>
    <w:lvl w:ilvl="4" w:tplc="C386A38A">
      <w:numFmt w:val="decimal"/>
      <w:lvlText w:val=""/>
      <w:lvlJc w:val="left"/>
    </w:lvl>
    <w:lvl w:ilvl="5" w:tplc="5A8C137A">
      <w:numFmt w:val="decimal"/>
      <w:lvlText w:val=""/>
      <w:lvlJc w:val="left"/>
    </w:lvl>
    <w:lvl w:ilvl="6" w:tplc="7342370C">
      <w:numFmt w:val="decimal"/>
      <w:lvlText w:val=""/>
      <w:lvlJc w:val="left"/>
    </w:lvl>
    <w:lvl w:ilvl="7" w:tplc="3C141C5A">
      <w:numFmt w:val="decimal"/>
      <w:lvlText w:val=""/>
      <w:lvlJc w:val="left"/>
    </w:lvl>
    <w:lvl w:ilvl="8" w:tplc="1A824474">
      <w:numFmt w:val="decimal"/>
      <w:lvlText w:val=""/>
      <w:lvlJc w:val="left"/>
    </w:lvl>
  </w:abstractNum>
  <w:num w:numId="1" w16cid:durableId="1338270344">
    <w:abstractNumId w:val="0"/>
    <w:lvlOverride w:ilvl="0">
      <w:startOverride w:val="1"/>
    </w:lvlOverride>
  </w:num>
  <w:num w:numId="2" w16cid:durableId="1753119357">
    <w:abstractNumId w:val="1"/>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displayBackgroundShape/>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52ED5"/>
    <w:rsid w:val="00032AEE"/>
    <w:rsid w:val="000B712E"/>
    <w:rsid w:val="000C53E8"/>
    <w:rsid w:val="000D0945"/>
    <w:rsid w:val="00106D1A"/>
    <w:rsid w:val="001209F5"/>
    <w:rsid w:val="001541F8"/>
    <w:rsid w:val="00160B18"/>
    <w:rsid w:val="002C28EF"/>
    <w:rsid w:val="003D7137"/>
    <w:rsid w:val="00475CF8"/>
    <w:rsid w:val="004E1D67"/>
    <w:rsid w:val="00514E54"/>
    <w:rsid w:val="00595ABF"/>
    <w:rsid w:val="005F5615"/>
    <w:rsid w:val="0061701C"/>
    <w:rsid w:val="0062401E"/>
    <w:rsid w:val="006364D3"/>
    <w:rsid w:val="006B3D8D"/>
    <w:rsid w:val="006D6302"/>
    <w:rsid w:val="007D25A6"/>
    <w:rsid w:val="0085076B"/>
    <w:rsid w:val="00A07C9C"/>
    <w:rsid w:val="00A14A52"/>
    <w:rsid w:val="00A93185"/>
    <w:rsid w:val="00B245D1"/>
    <w:rsid w:val="00B33169"/>
    <w:rsid w:val="00B531C9"/>
    <w:rsid w:val="00B66364"/>
    <w:rsid w:val="00B77020"/>
    <w:rsid w:val="00C159DE"/>
    <w:rsid w:val="00C3230C"/>
    <w:rsid w:val="00C437BA"/>
    <w:rsid w:val="00C932EB"/>
    <w:rsid w:val="00CE5849"/>
    <w:rsid w:val="00D40ECF"/>
    <w:rsid w:val="00DB23E8"/>
    <w:rsid w:val="00E50CF1"/>
    <w:rsid w:val="00E97615"/>
    <w:rsid w:val="00EA6A7C"/>
    <w:rsid w:val="00EB0336"/>
    <w:rsid w:val="00EC430F"/>
    <w:rsid w:val="00F52ED5"/>
    <w:rsid w:val="00F92E17"/>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9948CA2"/>
  <w15:docId w15:val="{3D8FBD14-D8F4-4241-9225-E61FD7006F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lang w:val="es-CO"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uiPriority w:val="9"/>
    <w:qFormat/>
    <w:pPr>
      <w:spacing w:before="360" w:after="160"/>
      <w:outlineLvl w:val="0"/>
    </w:pPr>
    <w:rPr>
      <w:b/>
      <w:bCs/>
      <w:color w:val="1F4E79"/>
      <w:sz w:val="28"/>
      <w:szCs w:val="28"/>
    </w:rPr>
  </w:style>
  <w:style w:type="paragraph" w:styleId="Ttulo2">
    <w:name w:val="heading 2"/>
    <w:uiPriority w:val="9"/>
    <w:unhideWhenUsed/>
    <w:qFormat/>
    <w:pPr>
      <w:spacing w:before="240" w:after="120"/>
      <w:outlineLvl w:val="1"/>
    </w:pPr>
    <w:rPr>
      <w:b/>
      <w:bCs/>
      <w:color w:val="2E75B6"/>
      <w:sz w:val="24"/>
      <w:szCs w:val="24"/>
    </w:rPr>
  </w:style>
  <w:style w:type="paragraph" w:styleId="Ttulo3">
    <w:name w:val="heading 3"/>
    <w:uiPriority w:val="9"/>
    <w:unhideWhenUsed/>
    <w:qFormat/>
    <w:pPr>
      <w:spacing w:before="180" w:after="80"/>
      <w:outlineLvl w:val="2"/>
    </w:pPr>
    <w:rPr>
      <w:b/>
      <w:bCs/>
      <w:color w:val="1E7145"/>
      <w:sz w:val="22"/>
      <w:szCs w:val="22"/>
    </w:rPr>
  </w:style>
  <w:style w:type="paragraph" w:styleId="Ttulo4">
    <w:name w:val="heading 4"/>
    <w:uiPriority w:val="9"/>
    <w:semiHidden/>
    <w:unhideWhenUsed/>
    <w:qFormat/>
    <w:pPr>
      <w:outlineLvl w:val="3"/>
    </w:pPr>
    <w:rPr>
      <w:i/>
      <w:iCs/>
      <w:color w:val="2E74B5"/>
    </w:rPr>
  </w:style>
  <w:style w:type="paragraph" w:styleId="Ttulo5">
    <w:name w:val="heading 5"/>
    <w:uiPriority w:val="9"/>
    <w:semiHidden/>
    <w:unhideWhenUsed/>
    <w:qFormat/>
    <w:pPr>
      <w:outlineLvl w:val="4"/>
    </w:pPr>
    <w:rPr>
      <w:color w:val="2E74B5"/>
    </w:rPr>
  </w:style>
  <w:style w:type="paragraph" w:styleId="Ttulo6">
    <w:name w:val="heading 6"/>
    <w:uiPriority w:val="9"/>
    <w:semiHidden/>
    <w:unhideWhenUsed/>
    <w:qFormat/>
    <w:pPr>
      <w:outlineLvl w:val="5"/>
    </w:pPr>
    <w:rPr>
      <w:color w:val="1F4D7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tulo">
    <w:name w:val="Title"/>
    <w:uiPriority w:val="10"/>
    <w:qFormat/>
    <w:rPr>
      <w:sz w:val="56"/>
      <w:szCs w:val="56"/>
    </w:rPr>
  </w:style>
  <w:style w:type="paragraph" w:customStyle="1" w:styleId="Fuerte1">
    <w:name w:val="Fuerte1"/>
    <w:qFormat/>
    <w:rPr>
      <w:b/>
      <w:bCs/>
    </w:rPr>
  </w:style>
  <w:style w:type="paragraph" w:styleId="Prrafodelista">
    <w:name w:val="List Paragraph"/>
    <w:qFormat/>
  </w:style>
  <w:style w:type="character" w:styleId="Hipervnculo">
    <w:name w:val="Hyperlink"/>
    <w:uiPriority w:val="99"/>
    <w:unhideWhenUsed/>
    <w:rPr>
      <w:color w:val="0563C1"/>
      <w:u w:val="single"/>
    </w:rPr>
  </w:style>
  <w:style w:type="character" w:styleId="Refdenotaalpie">
    <w:name w:val="footnote reference"/>
    <w:uiPriority w:val="99"/>
    <w:semiHidden/>
    <w:unhideWhenUsed/>
    <w:rPr>
      <w:vertAlign w:val="superscript"/>
    </w:rPr>
  </w:style>
  <w:style w:type="paragraph" w:styleId="Textonotapie">
    <w:name w:val="footnote text"/>
    <w:link w:val="TextonotapieCar"/>
    <w:uiPriority w:val="99"/>
    <w:semiHidden/>
    <w:unhideWhenUsed/>
  </w:style>
  <w:style w:type="character" w:customStyle="1" w:styleId="TextonotapieCar">
    <w:name w:val="Texto nota pie Car"/>
    <w:link w:val="Textonotapie"/>
    <w:uiPriority w:val="99"/>
    <w:semiHidden/>
    <w:unhideWhenUsed/>
    <w:rPr>
      <w:sz w:val="20"/>
      <w:szCs w:val="20"/>
    </w:rPr>
  </w:style>
  <w:style w:type="character" w:styleId="Refdenotaalfinal">
    <w:name w:val="endnote reference"/>
    <w:uiPriority w:val="99"/>
    <w:semiHidden/>
    <w:unhideWhenUsed/>
    <w:rPr>
      <w:vertAlign w:val="superscript"/>
    </w:rPr>
  </w:style>
  <w:style w:type="paragraph" w:styleId="Textonotaalfinal">
    <w:name w:val="endnote text"/>
    <w:link w:val="TextonotaalfinalCar"/>
    <w:uiPriority w:val="99"/>
    <w:semiHidden/>
    <w:unhideWhenUsed/>
  </w:style>
  <w:style w:type="character" w:customStyle="1" w:styleId="TextonotaalfinalCar">
    <w:name w:val="Texto nota al final Car"/>
    <w:link w:val="Textonotaalfinal"/>
    <w:uiPriority w:val="99"/>
    <w:semiHidden/>
    <w:unhideWhenUsed/>
    <w:rPr>
      <w:sz w:val="20"/>
      <w:szCs w:val="20"/>
    </w:rPr>
  </w:style>
  <w:style w:type="paragraph" w:styleId="Encabezado">
    <w:name w:val="header"/>
    <w:basedOn w:val="Normal"/>
    <w:link w:val="EncabezadoCar"/>
    <w:uiPriority w:val="99"/>
    <w:unhideWhenUsed/>
    <w:rsid w:val="002C28EF"/>
    <w:pPr>
      <w:tabs>
        <w:tab w:val="center" w:pos="4419"/>
        <w:tab w:val="right" w:pos="8838"/>
      </w:tabs>
    </w:pPr>
  </w:style>
  <w:style w:type="character" w:customStyle="1" w:styleId="EncabezadoCar">
    <w:name w:val="Encabezado Car"/>
    <w:basedOn w:val="Fuentedeprrafopredeter"/>
    <w:link w:val="Encabezado"/>
    <w:uiPriority w:val="99"/>
    <w:rsid w:val="002C28EF"/>
  </w:style>
  <w:style w:type="paragraph" w:styleId="Piedepgina">
    <w:name w:val="footer"/>
    <w:basedOn w:val="Normal"/>
    <w:link w:val="PiedepginaCar"/>
    <w:uiPriority w:val="99"/>
    <w:unhideWhenUsed/>
    <w:rsid w:val="002C28EF"/>
    <w:pPr>
      <w:tabs>
        <w:tab w:val="center" w:pos="4419"/>
        <w:tab w:val="right" w:pos="8838"/>
      </w:tabs>
    </w:pPr>
  </w:style>
  <w:style w:type="character" w:customStyle="1" w:styleId="PiedepginaCar">
    <w:name w:val="Pie de página Car"/>
    <w:basedOn w:val="Fuentedeprrafopredeter"/>
    <w:link w:val="Piedepgina"/>
    <w:uiPriority w:val="99"/>
    <w:rsid w:val="002C28E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settings" Target="settings.xml"/><Relationship Id="rId21" Type="http://schemas.openxmlformats.org/officeDocument/2006/relationships/customXml" Target="../customXml/item1.xml"/><Relationship Id="rId7" Type="http://schemas.openxmlformats.org/officeDocument/2006/relationships/header" Target="header1.xml"/><Relationship Id="rId12" Type="http://schemas.openxmlformats.org/officeDocument/2006/relationships/image" Target="media/image4.png"/><Relationship Id="rId17" Type="http://schemas.openxmlformats.org/officeDocument/2006/relationships/image" Target="media/image9.jpeg"/><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5"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customXml" Target="../customXml/item3.xml"/><Relationship Id="rId10" Type="http://schemas.openxmlformats.org/officeDocument/2006/relationships/image" Target="media/image2.pn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customXml" Target="../customXml/item2.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3A25D4E13AA75644A3B17E27AF241808" ma:contentTypeVersion="12" ma:contentTypeDescription="Crear nuevo documento." ma:contentTypeScope="" ma:versionID="761fb89e351b98b54be3c87c9c136046">
  <xsd:schema xmlns:xsd="http://www.w3.org/2001/XMLSchema" xmlns:xs="http://www.w3.org/2001/XMLSchema" xmlns:p="http://schemas.microsoft.com/office/2006/metadata/properties" xmlns:ns2="e160ed59-9bdb-47c4-a83e-e7ddd2d3ecfc" xmlns:ns3="52ef8960-e02b-4856-a657-55e72c926cd1" targetNamespace="http://schemas.microsoft.com/office/2006/metadata/properties" ma:root="true" ma:fieldsID="4de64f9957304595523457006d015c6f" ns2:_="" ns3:_="">
    <xsd:import namespace="e160ed59-9bdb-47c4-a83e-e7ddd2d3ecfc"/>
    <xsd:import namespace="52ef8960-e02b-4856-a657-55e72c926cd1"/>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BillingMetadata" minOccurs="0"/>
                <xsd:element ref="ns2:MediaServiceDateTaken"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160ed59-9bdb-47c4-a83e-e7ddd2d3ecf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BillingMetadata" ma:index="11" nillable="true" ma:displayName="MediaServiceBillingMetadata" ma:hidden="true" ma:internalName="MediaServiceBillingMetadata" ma:readOnly="true">
      <xsd:simpleType>
        <xsd:restriction base="dms:Note"/>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lcf76f155ced4ddcb4097134ff3c332f" ma:index="14" nillable="true" ma:taxonomy="true" ma:internalName="lcf76f155ced4ddcb4097134ff3c332f" ma:taxonomyFieldName="MediaServiceImageTags" ma:displayName="Etiquetas de imagen" ma:readOnly="false" ma:fieldId="{5cf76f15-5ced-4ddc-b409-7134ff3c332f}" ma:taxonomyMulti="true" ma:sspId="fbc45cb4-c21a-49bb-988e-5b402dd8a977" ma:termSetId="09814cd3-568e-fe90-9814-8d621ff8fb84" ma:anchorId="fba54fb3-c3e1-fe81-a776-ca4b69148c4d" ma:open="true" ma:isKeyword="false">
      <xsd:complexType>
        <xsd:sequence>
          <xsd:element ref="pc:Terms" minOccurs="0" maxOccurs="1"/>
        </xsd:sequence>
      </xsd:complex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52ef8960-e02b-4856-a657-55e72c926cd1" elementFormDefault="qualified">
    <xsd:import namespace="http://schemas.microsoft.com/office/2006/documentManagement/types"/>
    <xsd:import namespace="http://schemas.microsoft.com/office/infopath/2007/PartnerControls"/>
    <xsd:element name="TaxCatchAll" ma:index="15" nillable="true" ma:displayName="Taxonomy Catch All Column" ma:hidden="true" ma:list="{8b760af0-db32-4416-8e4e-a31136d5cb41}" ma:internalName="TaxCatchAll" ma:showField="CatchAllData" ma:web="52ef8960-e02b-4856-a657-55e72c926cd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52ef8960-e02b-4856-a657-55e72c926cd1" xsi:nil="true"/>
    <lcf76f155ced4ddcb4097134ff3c332f xmlns="e160ed59-9bdb-47c4-a83e-e7ddd2d3ecfc">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8F5514BC-E1C4-4A1F-8AF2-E40922422B8C}"/>
</file>

<file path=customXml/itemProps2.xml><?xml version="1.0" encoding="utf-8"?>
<ds:datastoreItem xmlns:ds="http://schemas.openxmlformats.org/officeDocument/2006/customXml" ds:itemID="{F6E73766-B6DF-4E65-87DC-CEB18EF974E3}"/>
</file>

<file path=customXml/itemProps3.xml><?xml version="1.0" encoding="utf-8"?>
<ds:datastoreItem xmlns:ds="http://schemas.openxmlformats.org/officeDocument/2006/customXml" ds:itemID="{E1C6E360-AADF-4F84-8CFB-451887ABC600}"/>
</file>

<file path=docProps/app.xml><?xml version="1.0" encoding="utf-8"?>
<Properties xmlns="http://schemas.openxmlformats.org/officeDocument/2006/extended-properties" xmlns:vt="http://schemas.openxmlformats.org/officeDocument/2006/docPropsVTypes">
  <Template>Normal.dotm</Template>
  <TotalTime>48</TotalTime>
  <Pages>20</Pages>
  <Words>5561</Words>
  <Characters>30591</Characters>
  <Application>Microsoft Office Word</Application>
  <DocSecurity>0</DocSecurity>
  <Lines>254</Lines>
  <Paragraphs>72</Paragraphs>
  <ScaleCrop>false</ScaleCrop>
  <Company/>
  <LinksUpToDate>false</LinksUpToDate>
  <CharactersWithSpaces>36080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Oscar Cortes</cp:lastModifiedBy>
  <cp:revision>40</cp:revision>
  <dcterms:created xsi:type="dcterms:W3CDTF">2026-06-30T00:08:00Z</dcterms:created>
  <dcterms:modified xsi:type="dcterms:W3CDTF">2026-07-05T15:03:00Z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0x0101003A25D4E13AA75644A3B17E27AF241808</vt:lpwstr>
  </property>
</Properties>
</file>